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8F53" w14:textId="77777777" w:rsidR="001D40D1" w:rsidRPr="001D40D1" w:rsidRDefault="001D40D1" w:rsidP="001D40D1">
      <w:pPr>
        <w:spacing w:after="0" w:line="240" w:lineRule="auto"/>
        <w:jc w:val="both"/>
        <w:rPr>
          <w:rFonts w:ascii="Verdana" w:eastAsia="Times New Roman" w:hAnsi="Verdana" w:cs="Arial"/>
          <w:kern w:val="0"/>
          <w:sz w:val="20"/>
          <w:szCs w:val="20"/>
          <w:lang w:val="en-GB"/>
          <w14:ligatures w14:val="none"/>
        </w:rPr>
      </w:pPr>
    </w:p>
    <w:p w14:paraId="51AA5F9C" w14:textId="77777777" w:rsidR="001D40D1" w:rsidRPr="001D40D1" w:rsidRDefault="001D40D1" w:rsidP="001D40D1">
      <w:pPr>
        <w:keepNext/>
        <w:overflowPunct w:val="0"/>
        <w:autoSpaceDE w:val="0"/>
        <w:autoSpaceDN w:val="0"/>
        <w:adjustRightInd w:val="0"/>
        <w:spacing w:before="240" w:after="60" w:line="240" w:lineRule="auto"/>
        <w:jc w:val="both"/>
        <w:outlineLvl w:val="2"/>
        <w:rPr>
          <w:rFonts w:ascii="Verdana" w:eastAsia="Times New Roman" w:hAnsi="Verdana"/>
          <w:kern w:val="0"/>
          <w:sz w:val="20"/>
          <w:szCs w:val="20"/>
          <w14:ligatures w14:val="none"/>
        </w:rPr>
      </w:pPr>
      <w:r w:rsidRPr="001D40D1">
        <w:rPr>
          <w:rFonts w:ascii="Verdana" w:eastAsia="Times New Roman" w:hAnsi="Verdana"/>
          <w:noProof/>
          <w:kern w:val="0"/>
          <w:sz w:val="20"/>
          <w:szCs w:val="20"/>
          <w:lang w:val="en-GB" w:eastAsia="hr-HR"/>
          <w14:ligatures w14:val="none"/>
        </w:rPr>
        <w:drawing>
          <wp:anchor distT="0" distB="0" distL="114300" distR="114300" simplePos="0" relativeHeight="251659264" behindDoc="0" locked="0" layoutInCell="1" allowOverlap="1" wp14:anchorId="1022B246" wp14:editId="1E1DEFAA">
            <wp:simplePos x="0" y="0"/>
            <wp:positionH relativeFrom="column">
              <wp:posOffset>465455</wp:posOffset>
            </wp:positionH>
            <wp:positionV relativeFrom="paragraph">
              <wp:posOffset>8255</wp:posOffset>
            </wp:positionV>
            <wp:extent cx="548640" cy="690245"/>
            <wp:effectExtent l="0" t="0" r="3810" b="0"/>
            <wp:wrapNone/>
            <wp:docPr id="345247935" name="Slika 1" descr="grb_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DE6D4" w14:textId="77777777" w:rsidR="001D40D1" w:rsidRDefault="001D40D1" w:rsidP="001D40D1">
      <w:pPr>
        <w:keepNext/>
        <w:overflowPunct w:val="0"/>
        <w:autoSpaceDE w:val="0"/>
        <w:autoSpaceDN w:val="0"/>
        <w:adjustRightInd w:val="0"/>
        <w:spacing w:before="240" w:after="60" w:line="240" w:lineRule="auto"/>
        <w:jc w:val="both"/>
        <w:outlineLvl w:val="2"/>
        <w:rPr>
          <w:rFonts w:ascii="Verdana" w:eastAsia="Times New Roman" w:hAnsi="Verdana"/>
          <w:kern w:val="0"/>
          <w:sz w:val="20"/>
          <w:szCs w:val="20"/>
          <w14:ligatures w14:val="none"/>
        </w:rPr>
      </w:pPr>
    </w:p>
    <w:p w14:paraId="7F3630A1" w14:textId="77777777" w:rsidR="001D40D1" w:rsidRDefault="001D40D1" w:rsidP="001D40D1">
      <w:pPr>
        <w:keepNext/>
        <w:overflowPunct w:val="0"/>
        <w:autoSpaceDE w:val="0"/>
        <w:autoSpaceDN w:val="0"/>
        <w:adjustRightInd w:val="0"/>
        <w:spacing w:before="240" w:after="60" w:line="240" w:lineRule="auto"/>
        <w:jc w:val="both"/>
        <w:outlineLvl w:val="2"/>
        <w:rPr>
          <w:rFonts w:ascii="Verdana" w:eastAsia="Times New Roman" w:hAnsi="Verdana" w:cs="Arial"/>
          <w:b/>
          <w:kern w:val="0"/>
          <w:sz w:val="20"/>
          <w:szCs w:val="20"/>
          <w:lang w:eastAsia="hr-HR"/>
          <w14:ligatures w14:val="none"/>
        </w:rPr>
      </w:pPr>
      <w:r>
        <w:rPr>
          <w:rFonts w:ascii="Verdana" w:eastAsia="Times New Roman" w:hAnsi="Verdana" w:cs="Arial"/>
          <w:b/>
          <w:kern w:val="0"/>
          <w:sz w:val="20"/>
          <w:szCs w:val="20"/>
          <w:lang w:eastAsia="hr-HR"/>
          <w14:ligatures w14:val="none"/>
        </w:rPr>
        <w:t>REPUBLIKA  HRVATSKA</w:t>
      </w:r>
    </w:p>
    <w:p w14:paraId="5CF49496"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KARLOVAČKA ŽUPANIJA</w:t>
      </w:r>
    </w:p>
    <w:p w14:paraId="2DF52153"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00C3708"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 xml:space="preserve">        GRAD SLUNJ</w:t>
      </w:r>
    </w:p>
    <w:p w14:paraId="5FA80B7D"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 xml:space="preserve">    GRADONAČELNIK</w:t>
      </w:r>
    </w:p>
    <w:p w14:paraId="4CCDB598"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0ABC5360"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KLASA: 245-01/26-01/01</w:t>
      </w:r>
    </w:p>
    <w:p w14:paraId="75D74477"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URBROJ: 2133-04-03-04/03-26-1</w:t>
      </w:r>
    </w:p>
    <w:p w14:paraId="5E6A8B14"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 xml:space="preserve">Slunj, 19. 02. 2026. </w:t>
      </w:r>
    </w:p>
    <w:p w14:paraId="3866763A"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4DD2617E"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1AF2F11F"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7518FDA3"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5AC74C13"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ABE6A77"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60730D8"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CE9B199"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C4F2055"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2985058"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184F165D"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D19B1D2"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4DC79C6E"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7DC90B50"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4C3F6B9"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0CDCD806" w14:textId="77777777" w:rsidR="001D40D1" w:rsidRDefault="001D40D1" w:rsidP="001D40D1">
      <w:pPr>
        <w:spacing w:after="0" w:line="240" w:lineRule="auto"/>
        <w:jc w:val="center"/>
        <w:rPr>
          <w:rFonts w:ascii="Verdana" w:eastAsia="Times New Roman" w:hAnsi="Verdana"/>
          <w:b/>
          <w:kern w:val="0"/>
          <w14:ligatures w14:val="none"/>
        </w:rPr>
      </w:pPr>
      <w:r>
        <w:rPr>
          <w:rFonts w:ascii="Verdana" w:eastAsia="Times New Roman" w:hAnsi="Verdana"/>
          <w:b/>
          <w:kern w:val="0"/>
          <w14:ligatures w14:val="none"/>
        </w:rPr>
        <w:t>I Z V J E Š Ć E</w:t>
      </w:r>
    </w:p>
    <w:p w14:paraId="0F58163B" w14:textId="77777777" w:rsidR="001D40D1" w:rsidRDefault="001D40D1" w:rsidP="001D40D1">
      <w:pPr>
        <w:spacing w:after="0" w:line="240" w:lineRule="auto"/>
        <w:jc w:val="center"/>
        <w:rPr>
          <w:rFonts w:ascii="Verdana" w:eastAsia="Times New Roman" w:hAnsi="Verdana"/>
          <w:b/>
          <w:kern w:val="0"/>
          <w:sz w:val="20"/>
          <w:szCs w:val="20"/>
          <w14:ligatures w14:val="none"/>
        </w:rPr>
      </w:pPr>
    </w:p>
    <w:p w14:paraId="415983D1" w14:textId="77777777" w:rsidR="001D40D1" w:rsidRDefault="001D40D1" w:rsidP="001D40D1">
      <w:pPr>
        <w:spacing w:after="0" w:line="240" w:lineRule="auto"/>
        <w:jc w:val="center"/>
        <w:rPr>
          <w:rFonts w:ascii="Verdana" w:eastAsia="Times New Roman" w:hAnsi="Verdana"/>
          <w:b/>
          <w:kern w:val="0"/>
          <w:sz w:val="20"/>
          <w:szCs w:val="20"/>
          <w14:ligatures w14:val="none"/>
        </w:rPr>
      </w:pPr>
      <w:r>
        <w:rPr>
          <w:rFonts w:ascii="Verdana" w:eastAsia="Times New Roman" w:hAnsi="Verdana"/>
          <w:b/>
          <w:kern w:val="0"/>
          <w:sz w:val="20"/>
          <w:szCs w:val="20"/>
          <w14:ligatures w14:val="none"/>
        </w:rPr>
        <w:t>o izvršenju Plana djelovanja Grada Slunja</w:t>
      </w:r>
    </w:p>
    <w:p w14:paraId="2222AD1D" w14:textId="77777777" w:rsidR="001D40D1" w:rsidRDefault="001D40D1" w:rsidP="001D40D1">
      <w:pPr>
        <w:spacing w:after="0" w:line="240" w:lineRule="auto"/>
        <w:jc w:val="center"/>
        <w:rPr>
          <w:rFonts w:ascii="Verdana" w:eastAsia="Times New Roman" w:hAnsi="Verdana"/>
          <w:b/>
          <w:kern w:val="0"/>
          <w:sz w:val="20"/>
          <w:szCs w:val="20"/>
          <w14:ligatures w14:val="none"/>
        </w:rPr>
      </w:pPr>
      <w:r>
        <w:rPr>
          <w:rFonts w:ascii="Verdana" w:eastAsia="Times New Roman" w:hAnsi="Verdana"/>
          <w:b/>
          <w:kern w:val="0"/>
          <w:sz w:val="20"/>
          <w:szCs w:val="20"/>
          <w14:ligatures w14:val="none"/>
        </w:rPr>
        <w:t>u području prirodnih nepogoda</w:t>
      </w:r>
    </w:p>
    <w:p w14:paraId="2757F041" w14:textId="77777777" w:rsidR="001D40D1" w:rsidRDefault="001D40D1" w:rsidP="001D40D1">
      <w:pPr>
        <w:spacing w:after="0" w:line="240" w:lineRule="auto"/>
        <w:jc w:val="center"/>
        <w:rPr>
          <w:rFonts w:ascii="Verdana" w:eastAsia="Times New Roman" w:hAnsi="Verdana"/>
          <w:b/>
          <w:kern w:val="0"/>
          <w:sz w:val="20"/>
          <w:szCs w:val="20"/>
          <w14:ligatures w14:val="none"/>
        </w:rPr>
      </w:pPr>
      <w:r>
        <w:rPr>
          <w:rFonts w:ascii="Verdana" w:eastAsia="Times New Roman" w:hAnsi="Verdana"/>
          <w:b/>
          <w:kern w:val="0"/>
          <w:sz w:val="20"/>
          <w:szCs w:val="20"/>
          <w14:ligatures w14:val="none"/>
        </w:rPr>
        <w:t>za 2025. godinu</w:t>
      </w:r>
    </w:p>
    <w:p w14:paraId="73A8A25C"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7699ED5"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19FF0B27"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85B8C5D"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1B24CAA4"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D7EBCE8"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2220D7D"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5F6C3BF7"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56455E7A"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E464FCD"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A705160"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1EEAAEA"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C1FA116"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547386CF"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F07876B"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0EE2F402"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3B7A600"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27682D76"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2A4CB13"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70F957B"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5BE67A01" w14:textId="77777777" w:rsidR="001D40D1" w:rsidRDefault="001D40D1" w:rsidP="001D40D1">
      <w:pPr>
        <w:spacing w:after="0" w:line="240" w:lineRule="auto"/>
        <w:jc w:val="both"/>
        <w:rPr>
          <w:rFonts w:ascii="Verdana" w:eastAsia="Times New Roman" w:hAnsi="Verdana"/>
          <w:bCs/>
          <w:i/>
          <w:iCs/>
          <w:kern w:val="0"/>
          <w:sz w:val="20"/>
          <w:szCs w:val="20"/>
          <w14:ligatures w14:val="none"/>
        </w:rPr>
      </w:pPr>
    </w:p>
    <w:p w14:paraId="4E96A3C6" w14:textId="77777777" w:rsidR="001D40D1" w:rsidRDefault="001D40D1" w:rsidP="001D40D1">
      <w:pPr>
        <w:spacing w:after="0" w:line="240" w:lineRule="auto"/>
        <w:jc w:val="both"/>
        <w:rPr>
          <w:rFonts w:ascii="Verdana" w:eastAsia="Times New Roman" w:hAnsi="Verdana"/>
          <w:bCs/>
          <w:i/>
          <w:iCs/>
          <w:kern w:val="0"/>
          <w:sz w:val="20"/>
          <w:szCs w:val="20"/>
          <w14:ligatures w14:val="none"/>
        </w:rPr>
      </w:pPr>
    </w:p>
    <w:p w14:paraId="33E36EE7"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lastRenderedPageBreak/>
        <w:t>UVOD</w:t>
      </w:r>
    </w:p>
    <w:p w14:paraId="37225508"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3B24E7D4"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Odredbom članka 17. stavka 1. Zakona o ublažavanju i uklanjanju posljedica prirodnih nepogoda („Narodne novine“ broj 16/19, u daljnjem tekstu: Zakon) propisano je da predstavničko tijelo jedinice lokalne i područne (regionalne) samouprave do 30. studenog tekuće godine donosi Plan djelovanja u području prirodnih nepogoda za sljedeću kalendarsku godinu radi određivanja mjera i postupanja djelomične sanacije šteta od prirodnih nepogoda.</w:t>
      </w:r>
    </w:p>
    <w:p w14:paraId="11DE7447" w14:textId="77777777" w:rsidR="001D40D1" w:rsidRDefault="001D40D1" w:rsidP="001D40D1">
      <w:pPr>
        <w:spacing w:after="0" w:line="240" w:lineRule="auto"/>
        <w:jc w:val="both"/>
        <w:rPr>
          <w:rFonts w:ascii="Verdana" w:eastAsia="Times New Roman" w:hAnsi="Verdana"/>
          <w:kern w:val="0"/>
          <w:sz w:val="20"/>
          <w:szCs w:val="20"/>
          <w14:ligatures w14:val="none"/>
        </w:rPr>
      </w:pPr>
    </w:p>
    <w:p w14:paraId="1E1F8D7B"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Člankom 17. stavkom 3. Zakona propisano je da izvršno tijelo jedinice lokalne i područne (regionalne) samouprave podnosi predstavničkom tijelu jedinice lokalne i područne (regionalne) samouprave do 31. ožujka tekuće godine, izvješće o izvršenju Plana djelovanja u području prirodnih nepogoda za proteklu kalendarsku godinu.</w:t>
      </w:r>
    </w:p>
    <w:p w14:paraId="3B835850" w14:textId="77777777" w:rsidR="001D40D1" w:rsidRDefault="001D40D1" w:rsidP="001D40D1">
      <w:pPr>
        <w:spacing w:after="0" w:line="240" w:lineRule="auto"/>
        <w:jc w:val="both"/>
        <w:rPr>
          <w:rFonts w:ascii="Verdana" w:eastAsia="Times New Roman" w:hAnsi="Verdana"/>
          <w:kern w:val="0"/>
          <w:sz w:val="20"/>
          <w:szCs w:val="20"/>
          <w14:ligatures w14:val="none"/>
        </w:rPr>
      </w:pPr>
    </w:p>
    <w:p w14:paraId="38DFCA7B" w14:textId="77777777" w:rsidR="001D40D1" w:rsidRDefault="001D40D1" w:rsidP="001D40D1">
      <w:pPr>
        <w:spacing w:after="0" w:line="240" w:lineRule="auto"/>
        <w:jc w:val="both"/>
        <w:rPr>
          <w:rFonts w:ascii="Verdana" w:eastAsia="Times New Roman" w:hAnsi="Verdana"/>
          <w:kern w:val="0"/>
          <w:sz w:val="20"/>
          <w:szCs w:val="20"/>
          <w14:ligatures w14:val="none"/>
        </w:rPr>
      </w:pPr>
      <w:r>
        <w:rPr>
          <w:rFonts w:ascii="Verdana" w:eastAsia="Times New Roman" w:hAnsi="Verdana"/>
          <w:kern w:val="0"/>
          <w:sz w:val="20"/>
          <w:szCs w:val="20"/>
          <w14:ligatures w14:val="none"/>
        </w:rPr>
        <w:t>Gradsko vijeće Grada Slunja je na svojoj 33. sjednici održanoj 29. 10. 2024. godine usvojilo Plan djelovanja Grada Slunja u području prirodnih nepogoda za 2025. („Službeni glasnik Grada Slunja“ br. 10/24) u kojemu je utvrđen popis mjera i nositelja mjera u slučaju nastanka prirodnih nepogoda, izvori sredstava pomoći za ublažavanje i djelomično uklanjanje posljedica prirodnih nepogoda, postupak proglašenja prirodne nepogode te postupke prve procjene štete, odnosno konačne procjene štete, te nadležna tijela za procjenu šteta.</w:t>
      </w:r>
    </w:p>
    <w:p w14:paraId="7C67AD37" w14:textId="77777777" w:rsidR="001D40D1" w:rsidRDefault="001D40D1" w:rsidP="001D40D1">
      <w:pPr>
        <w:spacing w:after="0" w:line="240" w:lineRule="auto"/>
        <w:jc w:val="both"/>
        <w:rPr>
          <w:rFonts w:ascii="Times New Roman" w:eastAsia="Times New Roman" w:hAnsi="Times New Roman"/>
          <w:kern w:val="0"/>
          <w14:ligatures w14:val="none"/>
        </w:rPr>
      </w:pPr>
    </w:p>
    <w:p w14:paraId="306D23B2"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5FF424C"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PRIRODNE NEPOGODE</w:t>
      </w:r>
    </w:p>
    <w:p w14:paraId="0C9F4743"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57D8D29"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C9D4419" w14:textId="77777777" w:rsidR="001D40D1" w:rsidRDefault="001D40D1" w:rsidP="001D40D1">
      <w:pPr>
        <w:spacing w:after="0" w:line="240" w:lineRule="auto"/>
        <w:ind w:firstLine="708"/>
        <w:jc w:val="both"/>
        <w:rPr>
          <w:rFonts w:ascii="Verdana" w:eastAsia="Times New Roman" w:hAnsi="Verdana"/>
          <w:bCs/>
          <w:kern w:val="0"/>
          <w:sz w:val="20"/>
          <w:szCs w:val="20"/>
          <w14:ligatures w14:val="none"/>
        </w:rPr>
      </w:pPr>
    </w:p>
    <w:p w14:paraId="484A43A1" w14:textId="77777777" w:rsidR="001D40D1" w:rsidRDefault="001D40D1" w:rsidP="001D40D1">
      <w:pPr>
        <w:spacing w:after="0" w:line="240" w:lineRule="auto"/>
        <w:ind w:firstLine="708"/>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Prirodnim nepogodama smatraju se:</w:t>
      </w:r>
    </w:p>
    <w:p w14:paraId="64115B71" w14:textId="77777777" w:rsidR="001D40D1" w:rsidRDefault="001D40D1" w:rsidP="001D40D1">
      <w:pPr>
        <w:spacing w:after="0" w:line="240" w:lineRule="auto"/>
        <w:ind w:firstLine="708"/>
        <w:jc w:val="both"/>
        <w:rPr>
          <w:rFonts w:ascii="Verdana" w:eastAsia="Times New Roman" w:hAnsi="Verdana"/>
          <w:bCs/>
          <w:kern w:val="0"/>
          <w:sz w:val="20"/>
          <w:szCs w:val="20"/>
          <w14:ligatures w14:val="none"/>
        </w:rPr>
      </w:pPr>
    </w:p>
    <w:p w14:paraId="08EDE3BB"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potres,</w:t>
      </w:r>
    </w:p>
    <w:p w14:paraId="29464311"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olujni, orkanski i ostali jak vjetar,</w:t>
      </w:r>
    </w:p>
    <w:p w14:paraId="0787BD9E"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požar,</w:t>
      </w:r>
    </w:p>
    <w:p w14:paraId="7D821316"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poplava,</w:t>
      </w:r>
    </w:p>
    <w:p w14:paraId="02233825"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suša,</w:t>
      </w:r>
    </w:p>
    <w:p w14:paraId="1C2D8E61"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tuča,</w:t>
      </w:r>
    </w:p>
    <w:p w14:paraId="1ABBD5CB"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mraz,</w:t>
      </w:r>
    </w:p>
    <w:p w14:paraId="330579DB"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izvanredno velika visina snijega,</w:t>
      </w:r>
    </w:p>
    <w:p w14:paraId="7420875E"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snježni nanos i lavina,</w:t>
      </w:r>
    </w:p>
    <w:p w14:paraId="1EF625EC"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nagomilavanje leda na vodotocima,</w:t>
      </w:r>
    </w:p>
    <w:p w14:paraId="6419A37A"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klizanje, tečenje, odronjavanje i prevrtanje zemljišta,</w:t>
      </w:r>
    </w:p>
    <w:p w14:paraId="46A169DE" w14:textId="77777777" w:rsidR="001D40D1" w:rsidRDefault="001D40D1" w:rsidP="001D40D1">
      <w:pPr>
        <w:numPr>
          <w:ilvl w:val="0"/>
          <w:numId w:val="1"/>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druge pojave takva opsega koje, ovisno o mjesnim prilikama, uzrokuju bitne poremećaje u životu ljudi na određenom području.</w:t>
      </w:r>
    </w:p>
    <w:p w14:paraId="39674EBA"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4B4410AF"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i ostala dobra. </w:t>
      </w:r>
    </w:p>
    <w:p w14:paraId="0D40DE9F"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0CA93376"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Prirodna nepogoda može se proglasiti ako je vrijednost ukupne izravne štete najmanje 20% vrijednosti izvornih prihoda Grada Slunja za prethodnu godinu ili ako je prihod (rod) umanjen najmanje 30% prethodnog trogodišnjeg prosjeka na području Grada Slunja ili ako je nepogoda umanjila vrijednost imovine na području Grada Slunja najmanje 30%.</w:t>
      </w:r>
    </w:p>
    <w:p w14:paraId="5227E419"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F666FB1"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lastRenderedPageBreak/>
        <w:t xml:space="preserve">Ispunjenje uvjeta za proglašenje prirodne nepogode utvrđuje Gradsko povjerenstvo za procjenu šteta od prirodnih nepogoda Grada Slunja (u daljnjem tekstu: gradsko povjerenstvo). </w:t>
      </w:r>
    </w:p>
    <w:p w14:paraId="77D7C69E"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2BEB9C20"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Prijave i procijene šteta unose se u Registar prirodnih nepogoda koji se vodi pri Ministarstvu financija u digitalnom obliku.</w:t>
      </w:r>
    </w:p>
    <w:p w14:paraId="08D153DE"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618B0FC3"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2EE89ACF"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MJERE I SURADNJA S NADLEŽNIM TIJELIMA</w:t>
      </w:r>
    </w:p>
    <w:p w14:paraId="2C87D16A"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71799DA8"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Nadležna tijela za provedbu mjera s ciljem djelomičnog ublažavanja šteta uslijed prirodnih nepogoda su:</w:t>
      </w:r>
    </w:p>
    <w:p w14:paraId="61A2212D"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23DFB1F6" w14:textId="77777777" w:rsidR="001D40D1" w:rsidRDefault="001D40D1" w:rsidP="001D40D1">
      <w:pPr>
        <w:numPr>
          <w:ilvl w:val="0"/>
          <w:numId w:val="2"/>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Vlada Republike Hrvatske, </w:t>
      </w:r>
    </w:p>
    <w:p w14:paraId="57BAF272" w14:textId="77777777" w:rsidR="001D40D1" w:rsidRDefault="001D40D1" w:rsidP="001D40D1">
      <w:pPr>
        <w:numPr>
          <w:ilvl w:val="0"/>
          <w:numId w:val="2"/>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Povjerenstva za procjenu šteta od prirodnih nepogoda (gradsko, županijsko, državno)</w:t>
      </w:r>
    </w:p>
    <w:p w14:paraId="39F3F594" w14:textId="77777777" w:rsidR="001D40D1" w:rsidRDefault="001D40D1" w:rsidP="001D40D1">
      <w:pPr>
        <w:numPr>
          <w:ilvl w:val="0"/>
          <w:numId w:val="2"/>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Nadležna Ministarstva (za poljoprivredu, graditeljstvo i dr. ovisno o vrsti nepogode)</w:t>
      </w:r>
    </w:p>
    <w:p w14:paraId="5F20F366" w14:textId="77777777" w:rsidR="001D40D1" w:rsidRDefault="001D40D1" w:rsidP="001D40D1">
      <w:pPr>
        <w:numPr>
          <w:ilvl w:val="0"/>
          <w:numId w:val="2"/>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Karlovačka županija,</w:t>
      </w:r>
    </w:p>
    <w:p w14:paraId="0E267895" w14:textId="77777777" w:rsidR="001D40D1" w:rsidRDefault="001D40D1" w:rsidP="001D40D1">
      <w:pPr>
        <w:numPr>
          <w:ilvl w:val="0"/>
          <w:numId w:val="2"/>
        </w:num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Grad Slunj.</w:t>
      </w:r>
    </w:p>
    <w:p w14:paraId="74ECAE83"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36EFD53F"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Poslove u svezi dodjele sredstava pomoći za ublažavanje i djelomično uklanjanje posljedica prirodnih nepogoda obavljaju Državno, županijsko i gradsko povjerenstvo za procjenu šteta od prirodnih nepogoda.</w:t>
      </w:r>
    </w:p>
    <w:p w14:paraId="29D49CE4"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C93A9D9"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Postupanja i poslove vezane uz dodjelu sredstava pomoći za ublažavanje i djelomično uklanjanje posljedica prirodnih nepogoda povjerenstva provode u suradnji s nadležnim ministarstvima, Vladom RH i drugim tijelima koja sudjeluju u određenju kriterija i isplate sredstava pomoći za djelomičnu sanaciju šteta od prirodnih nepogoda.</w:t>
      </w:r>
    </w:p>
    <w:p w14:paraId="27E7CD90"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02C5DE17"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Plan djelovanja sadrži popis mjera i nositelja mjera u slučaju nastajanja prirodne nepogode na području Grada Slunja.</w:t>
      </w:r>
    </w:p>
    <w:p w14:paraId="7BE5C47C"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38AFC8BA"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4AB465E8"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IZVORI SREDSTAVA POMOĆI ZA UBLAŽAVANJE I DJELOMIČNO UKLANJANJE POSLJEDICA PRIRODNIH NEPOGODA</w:t>
      </w:r>
    </w:p>
    <w:p w14:paraId="05B64310" w14:textId="77777777" w:rsidR="001D40D1" w:rsidRDefault="001D40D1" w:rsidP="001D40D1">
      <w:pPr>
        <w:spacing w:after="120"/>
        <w:jc w:val="both"/>
        <w:rPr>
          <w:rFonts w:ascii="Verdana" w:eastAsia="Calibri" w:hAnsi="Verdana"/>
          <w:kern w:val="0"/>
          <w:sz w:val="20"/>
          <w:szCs w:val="20"/>
          <w14:ligatures w14:val="none"/>
        </w:rPr>
      </w:pPr>
    </w:p>
    <w:p w14:paraId="3C375EC1" w14:textId="77777777" w:rsidR="001D40D1" w:rsidRDefault="001D40D1" w:rsidP="001D40D1">
      <w:pPr>
        <w:spacing w:after="120"/>
        <w:jc w:val="both"/>
        <w:rPr>
          <w:rFonts w:ascii="Verdana" w:eastAsia="Calibri" w:hAnsi="Verdana"/>
          <w:kern w:val="0"/>
          <w:sz w:val="20"/>
          <w:szCs w:val="20"/>
          <w14:ligatures w14:val="none"/>
        </w:rPr>
      </w:pPr>
      <w:r>
        <w:rPr>
          <w:rFonts w:ascii="Verdana" w:eastAsia="Calibri" w:hAnsi="Verdana"/>
          <w:kern w:val="0"/>
          <w:sz w:val="20"/>
          <w:szCs w:val="20"/>
          <w14:ligatures w14:val="none"/>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33AF6D1" w14:textId="77777777" w:rsidR="001D40D1" w:rsidRDefault="001D40D1" w:rsidP="001D40D1">
      <w:pPr>
        <w:spacing w:after="0"/>
        <w:jc w:val="both"/>
        <w:rPr>
          <w:rFonts w:ascii="Verdana" w:eastAsia="Calibri" w:hAnsi="Verdana"/>
          <w:kern w:val="0"/>
          <w:sz w:val="20"/>
          <w:szCs w:val="20"/>
          <w14:ligatures w14:val="none"/>
        </w:rPr>
      </w:pPr>
      <w:r>
        <w:rPr>
          <w:rFonts w:ascii="Verdana" w:eastAsia="Calibri" w:hAnsi="Verdana"/>
          <w:kern w:val="0"/>
          <w:sz w:val="20"/>
          <w:szCs w:val="20"/>
          <w14:ligatures w14:val="none"/>
        </w:rPr>
        <w:t xml:space="preserve">Novčana sredstva i druge vrste pomoći za djelomičnu sanaciju šteta od prirodnih nepogoda na imovini oštećenika osiguravaju se iz: </w:t>
      </w:r>
    </w:p>
    <w:p w14:paraId="781B8E8F" w14:textId="77777777" w:rsidR="001D40D1" w:rsidRDefault="001D40D1" w:rsidP="001D40D1">
      <w:pPr>
        <w:numPr>
          <w:ilvl w:val="0"/>
          <w:numId w:val="3"/>
        </w:numPr>
        <w:spacing w:after="0"/>
        <w:contextualSpacing/>
        <w:jc w:val="both"/>
        <w:rPr>
          <w:rFonts w:ascii="Verdana" w:eastAsia="Calibri" w:hAnsi="Verdana"/>
          <w:kern w:val="0"/>
          <w:sz w:val="20"/>
          <w:szCs w:val="20"/>
          <w14:ligatures w14:val="none"/>
        </w:rPr>
      </w:pPr>
      <w:r>
        <w:rPr>
          <w:rFonts w:ascii="Verdana" w:eastAsia="Calibri" w:hAnsi="Verdana"/>
          <w:kern w:val="0"/>
          <w:sz w:val="20"/>
          <w:szCs w:val="20"/>
          <w14:ligatures w14:val="none"/>
        </w:rPr>
        <w:t>Državnog proračuna s proračunskog razdjela ministarstva nadležnog za financije,</w:t>
      </w:r>
    </w:p>
    <w:p w14:paraId="5438ED99" w14:textId="77777777" w:rsidR="001D40D1" w:rsidRDefault="001D40D1" w:rsidP="001D40D1">
      <w:pPr>
        <w:numPr>
          <w:ilvl w:val="0"/>
          <w:numId w:val="3"/>
        </w:numPr>
        <w:spacing w:after="0"/>
        <w:contextualSpacing/>
        <w:jc w:val="both"/>
        <w:rPr>
          <w:rFonts w:ascii="Verdana" w:eastAsia="Calibri" w:hAnsi="Verdana"/>
          <w:kern w:val="0"/>
          <w:sz w:val="20"/>
          <w:szCs w:val="20"/>
          <w14:ligatures w14:val="none"/>
        </w:rPr>
      </w:pPr>
      <w:r>
        <w:rPr>
          <w:rFonts w:ascii="Verdana" w:eastAsia="Calibri" w:hAnsi="Verdana"/>
          <w:kern w:val="0"/>
          <w:sz w:val="20"/>
          <w:szCs w:val="20"/>
          <w14:ligatures w14:val="none"/>
        </w:rPr>
        <w:t xml:space="preserve">Fondova Europske unije,  </w:t>
      </w:r>
    </w:p>
    <w:p w14:paraId="26FFE4EB" w14:textId="77777777" w:rsidR="001D40D1" w:rsidRDefault="001D40D1" w:rsidP="001D40D1">
      <w:pPr>
        <w:numPr>
          <w:ilvl w:val="0"/>
          <w:numId w:val="3"/>
        </w:numPr>
        <w:spacing w:after="120"/>
        <w:ind w:left="714" w:hanging="357"/>
        <w:jc w:val="both"/>
        <w:rPr>
          <w:rFonts w:ascii="Verdana" w:eastAsia="Calibri" w:hAnsi="Verdana"/>
          <w:kern w:val="0"/>
          <w:sz w:val="20"/>
          <w:szCs w:val="20"/>
          <w14:ligatures w14:val="none"/>
        </w:rPr>
      </w:pPr>
      <w:r>
        <w:rPr>
          <w:rFonts w:ascii="Verdana" w:eastAsia="Calibri" w:hAnsi="Verdana"/>
          <w:kern w:val="0"/>
          <w:sz w:val="20"/>
          <w:szCs w:val="20"/>
          <w14:ligatures w14:val="none"/>
        </w:rPr>
        <w:t>Donacija.</w:t>
      </w:r>
    </w:p>
    <w:p w14:paraId="41FDD926" w14:textId="77777777" w:rsidR="001D40D1" w:rsidRDefault="001D40D1" w:rsidP="001D40D1">
      <w:pPr>
        <w:spacing w:after="120"/>
        <w:jc w:val="both"/>
        <w:rPr>
          <w:rFonts w:ascii="Verdana" w:eastAsia="Calibri" w:hAnsi="Verdana"/>
          <w:kern w:val="0"/>
          <w:sz w:val="20"/>
          <w:szCs w:val="20"/>
          <w14:ligatures w14:val="none"/>
        </w:rPr>
      </w:pPr>
      <w:r>
        <w:rPr>
          <w:rFonts w:ascii="Verdana" w:eastAsia="Calibri" w:hAnsi="Verdana"/>
          <w:kern w:val="0"/>
          <w:sz w:val="20"/>
          <w:szCs w:val="20"/>
          <w14:ligatures w14:val="none"/>
        </w:rPr>
        <w:t>Sredstva iz fondova EU se ne mogu osigurati unaprijed, njihova dodjela se provodi prema posebnim propisima kojima se uređuje korištenje sredstava iz fondova EU.</w:t>
      </w:r>
    </w:p>
    <w:p w14:paraId="42804F1C" w14:textId="77777777" w:rsidR="001D40D1" w:rsidRDefault="001D40D1" w:rsidP="001D40D1">
      <w:pPr>
        <w:spacing w:after="120"/>
        <w:jc w:val="both"/>
        <w:rPr>
          <w:rFonts w:ascii="Verdana" w:eastAsia="Calibri" w:hAnsi="Verdana"/>
          <w:kern w:val="0"/>
          <w:sz w:val="20"/>
          <w:szCs w:val="20"/>
          <w14:ligatures w14:val="none"/>
        </w:rPr>
      </w:pPr>
      <w:r>
        <w:rPr>
          <w:rFonts w:ascii="Verdana" w:eastAsia="Calibri" w:hAnsi="Verdana"/>
          <w:kern w:val="0"/>
          <w:sz w:val="20"/>
          <w:szCs w:val="20"/>
          <w14:ligatures w14:val="none"/>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Slunja. Gradonačelnik Grada Slunja te krajnji korisnici odgovorni su za namjensko korištenje sredstava pomoći za ublažavanje i djelomično uklanjanje posljedica prirodnih nepogoda.</w:t>
      </w:r>
    </w:p>
    <w:p w14:paraId="4F67C9E0" w14:textId="77777777" w:rsidR="001D40D1" w:rsidRDefault="001D40D1" w:rsidP="001D40D1">
      <w:pPr>
        <w:spacing w:after="0"/>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lastRenderedPageBreak/>
        <w:t>Pomoć za ublažavanje i djelomično uklanjanje posljedica prirodnih nepogoda ne dodjeljuje se za:</w:t>
      </w:r>
    </w:p>
    <w:p w14:paraId="5BB87502" w14:textId="77777777" w:rsidR="001D40D1" w:rsidRDefault="001D40D1" w:rsidP="001D40D1">
      <w:pPr>
        <w:spacing w:after="0"/>
        <w:jc w:val="both"/>
        <w:rPr>
          <w:rFonts w:ascii="Verdana" w:eastAsia="Times New Roman" w:hAnsi="Verdana" w:cs="Calibri"/>
          <w:color w:val="000000"/>
          <w:kern w:val="0"/>
          <w:sz w:val="20"/>
          <w:szCs w:val="20"/>
          <w:lang w:eastAsia="hr-HR"/>
          <w14:ligatures w14:val="none"/>
        </w:rPr>
      </w:pPr>
    </w:p>
    <w:p w14:paraId="4E6DB760" w14:textId="77777777" w:rsidR="001D40D1" w:rsidRDefault="001D40D1" w:rsidP="001D40D1">
      <w:pPr>
        <w:numPr>
          <w:ilvl w:val="0"/>
          <w:numId w:val="4"/>
        </w:numPr>
        <w:spacing w:after="0"/>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štete na imovini koja je osigurana,</w:t>
      </w:r>
    </w:p>
    <w:p w14:paraId="6220BC0F" w14:textId="77777777" w:rsidR="001D40D1" w:rsidRDefault="001D40D1" w:rsidP="001D40D1">
      <w:pPr>
        <w:numPr>
          <w:ilvl w:val="0"/>
          <w:numId w:val="4"/>
        </w:numPr>
        <w:spacing w:before="100" w:beforeAutospacing="1" w:after="100" w:afterAutospacing="1"/>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štete na imovini koje nastanu od prirodnih nepogoda, a izazvane su namjerno, iz krajnjeg nemara ili nisu bile poduzete propisane mjere zaštite,</w:t>
      </w:r>
    </w:p>
    <w:p w14:paraId="1CDB71A7" w14:textId="77777777" w:rsidR="001D40D1" w:rsidRDefault="001D40D1" w:rsidP="001D40D1">
      <w:pPr>
        <w:numPr>
          <w:ilvl w:val="0"/>
          <w:numId w:val="4"/>
        </w:numPr>
        <w:spacing w:before="100" w:beforeAutospacing="1" w:after="100" w:afterAutospacing="1"/>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neizravne štete,</w:t>
      </w:r>
    </w:p>
    <w:p w14:paraId="29A3E438" w14:textId="77777777" w:rsidR="001D40D1" w:rsidRDefault="001D40D1" w:rsidP="001D40D1">
      <w:pPr>
        <w:numPr>
          <w:ilvl w:val="0"/>
          <w:numId w:val="4"/>
        </w:numPr>
        <w:spacing w:before="100" w:beforeAutospacing="1" w:after="100" w:afterAutospacing="1"/>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w:t>
      </w:r>
    </w:p>
    <w:p w14:paraId="0F76F5F0" w14:textId="77777777" w:rsidR="001D40D1" w:rsidRDefault="001D40D1" w:rsidP="001D40D1">
      <w:pPr>
        <w:numPr>
          <w:ilvl w:val="0"/>
          <w:numId w:val="4"/>
        </w:numPr>
        <w:spacing w:before="100" w:beforeAutospacing="1" w:after="100" w:afterAutospacing="1"/>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štete nastale na objektu ili području koje je u skladu s propisima koji uređuju zaštitu kulturnog dobra aktom proglašeno kulturnim dobrom ili je u vrijeme nastanka prirodne nepogode u postupku proglašavanja kulturnim dobrom,</w:t>
      </w:r>
    </w:p>
    <w:p w14:paraId="61C5B780" w14:textId="77777777" w:rsidR="001D40D1" w:rsidRDefault="001D40D1" w:rsidP="001D40D1">
      <w:pPr>
        <w:numPr>
          <w:ilvl w:val="0"/>
          <w:numId w:val="4"/>
        </w:numPr>
        <w:spacing w:before="100" w:beforeAutospacing="1" w:after="100" w:afterAutospacing="1"/>
        <w:contextualSpacing/>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 xml:space="preserve">štete koje nisu prijavljene i na propisan način i u zadanom roku unijete u Registar šteta prema odredbama </w:t>
      </w:r>
      <w:r>
        <w:rPr>
          <w:rFonts w:ascii="Verdana" w:eastAsia="Times New Roman" w:hAnsi="Verdana" w:cs="Calibri"/>
          <w:iCs/>
          <w:color w:val="000000"/>
          <w:kern w:val="0"/>
          <w:sz w:val="20"/>
          <w:szCs w:val="20"/>
          <w:lang w:eastAsia="hr-HR"/>
          <w14:ligatures w14:val="none"/>
        </w:rPr>
        <w:t>Zakona</w:t>
      </w:r>
      <w:r>
        <w:rPr>
          <w:rFonts w:ascii="Verdana" w:eastAsia="Times New Roman" w:hAnsi="Verdana" w:cs="Calibri"/>
          <w:color w:val="000000"/>
          <w:kern w:val="0"/>
          <w:sz w:val="20"/>
          <w:szCs w:val="20"/>
          <w:lang w:eastAsia="hr-HR"/>
          <w14:ligatures w14:val="none"/>
        </w:rPr>
        <w:t>,</w:t>
      </w:r>
    </w:p>
    <w:p w14:paraId="791D95FE" w14:textId="77777777" w:rsidR="001D40D1" w:rsidRDefault="001D40D1" w:rsidP="001D40D1">
      <w:pPr>
        <w:numPr>
          <w:ilvl w:val="0"/>
          <w:numId w:val="4"/>
        </w:numPr>
        <w:spacing w:after="120"/>
        <w:ind w:left="714" w:hanging="357"/>
        <w:jc w:val="both"/>
        <w:rPr>
          <w:rFonts w:ascii="Verdana" w:eastAsia="Times New Roman" w:hAnsi="Verdana" w:cs="Calibri"/>
          <w:color w:val="000000"/>
          <w:kern w:val="0"/>
          <w:sz w:val="20"/>
          <w:szCs w:val="20"/>
          <w:lang w:eastAsia="hr-HR"/>
          <w14:ligatures w14:val="none"/>
        </w:rPr>
      </w:pPr>
      <w:r>
        <w:rPr>
          <w:rFonts w:ascii="Verdana" w:eastAsia="Times New Roman" w:hAnsi="Verdana" w:cs="Calibri"/>
          <w:color w:val="000000"/>
          <w:kern w:val="0"/>
          <w:sz w:val="20"/>
          <w:szCs w:val="20"/>
          <w:lang w:eastAsia="hr-HR"/>
          <w14:ligatures w14:val="none"/>
        </w:rPr>
        <w:t xml:space="preserve">štete u slučaju </w:t>
      </w:r>
      <w:proofErr w:type="spellStart"/>
      <w:r>
        <w:rPr>
          <w:rFonts w:ascii="Verdana" w:eastAsia="Times New Roman" w:hAnsi="Verdana" w:cs="Calibri"/>
          <w:color w:val="000000"/>
          <w:kern w:val="0"/>
          <w:sz w:val="20"/>
          <w:szCs w:val="20"/>
          <w:lang w:eastAsia="hr-HR"/>
          <w14:ligatures w14:val="none"/>
        </w:rPr>
        <w:t>osigurljivih</w:t>
      </w:r>
      <w:proofErr w:type="spellEnd"/>
      <w:r>
        <w:rPr>
          <w:rFonts w:ascii="Verdana" w:eastAsia="Times New Roman" w:hAnsi="Verdana" w:cs="Calibri"/>
          <w:color w:val="000000"/>
          <w:kern w:val="0"/>
          <w:sz w:val="20"/>
          <w:szCs w:val="20"/>
          <w:lang w:eastAsia="hr-HR"/>
          <w14:ligatures w14:val="none"/>
        </w:rPr>
        <w:t xml:space="preserve"> rizika na imovini koja nije osigurana ako je vrijednost oštećene imovine manja od 60 % vrijednosti imovine.</w:t>
      </w:r>
    </w:p>
    <w:p w14:paraId="7F103212"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2B5DE609"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4C4EA6BC"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IZVRŠENJE PLANA DJELOVANJA ZA 2025. GODINU</w:t>
      </w:r>
    </w:p>
    <w:p w14:paraId="005F4E5F"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634E3E58"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U Planu djelovanja Grada Slunja u području prirodnih nepogoda za 2025. godinu dan je pregled preventivnih mjera i mjera za ublažavanje i otklanjanje posljedica prirodnih nepogoda, čija pojava je vjerojatna na području Grada Slunja. U 2025. godini provedene su aktivnosti vezane uz prirodne nepogode: potres (iz 2024.g.) i sušu (2025.).</w:t>
      </w:r>
    </w:p>
    <w:p w14:paraId="4BBA99C6"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0AA270E"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POTRES 2024. GODINE</w:t>
      </w:r>
    </w:p>
    <w:p w14:paraId="2AA93408" w14:textId="77777777" w:rsidR="001D40D1" w:rsidRDefault="001D40D1" w:rsidP="001D40D1">
      <w:pPr>
        <w:spacing w:after="0" w:line="240" w:lineRule="auto"/>
        <w:jc w:val="both"/>
        <w:rPr>
          <w:rFonts w:ascii="Verdana" w:eastAsia="Times New Roman" w:hAnsi="Verdana"/>
          <w:b/>
          <w:kern w:val="0"/>
          <w:sz w:val="20"/>
          <w:szCs w:val="20"/>
          <w14:ligatures w14:val="none"/>
        </w:rPr>
      </w:pPr>
    </w:p>
    <w:p w14:paraId="383DD89F"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Odlukom Vlade Republike Hrvatske o dodjeli sredstava za pomoć Gradu Slunju i Općini Rakovica KLASA:022-03/25-04/65; URBROJ: 50301-27/22-25-2 od 27.02.2025. godine Gradu Slunju odobrena su sredstva u iznosu 62.984,89 € za obnovu obiteljskih kuća od potresa iz 2024. godine, za koji nije proglašena prirodna nepogoda, jer nisu bile zadovoljeni zakonski uvjeti temeljem članka 3. stavka 4. Zakona.</w:t>
      </w:r>
    </w:p>
    <w:p w14:paraId="37AC0AB4"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E23650B"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Sredstva se odnose na konstrukcijsku obnovu jedne obiteljske kuće, te </w:t>
      </w:r>
      <w:proofErr w:type="spellStart"/>
      <w:r>
        <w:rPr>
          <w:rFonts w:ascii="Verdana" w:eastAsia="Times New Roman" w:hAnsi="Verdana"/>
          <w:bCs/>
          <w:kern w:val="0"/>
          <w:sz w:val="20"/>
          <w:szCs w:val="20"/>
          <w14:ligatures w14:val="none"/>
        </w:rPr>
        <w:t>nekonstrukcijsku</w:t>
      </w:r>
      <w:proofErr w:type="spellEnd"/>
      <w:r>
        <w:rPr>
          <w:rFonts w:ascii="Verdana" w:eastAsia="Times New Roman" w:hAnsi="Verdana"/>
          <w:bCs/>
          <w:kern w:val="0"/>
          <w:sz w:val="20"/>
          <w:szCs w:val="20"/>
          <w14:ligatures w14:val="none"/>
        </w:rPr>
        <w:t xml:space="preserve"> obnovu 6 obiteljskih kuća i jedne stambene zgrade sa četiri stambene jedinice.</w:t>
      </w:r>
    </w:p>
    <w:p w14:paraId="0EE8460B"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7FD3CED0"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Sredstva će se dodjeljivati korisnicima za provedenu samoobnovu, sukladno Odluci o načinu raspodjele sredstava pomoći za obnovu zgrada oštećenih potresom 2024. na  području Grada Slunja („Službeni glasnik Grada Slunja“ br. 10/2025). Rok za provedbu samoobnove je 30.06.2026. Postupak dodjele sredstava provodi Grad Slunj, koji dostavlja izvješće o provedenoj obnovi nadležnom Ministarstvu prostornog uređenja, graditeljstva i državne imovine.</w:t>
      </w:r>
    </w:p>
    <w:p w14:paraId="7BB1F1F4"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749C0929" w14:textId="77777777" w:rsidR="001D40D1" w:rsidRDefault="001D40D1" w:rsidP="001D40D1">
      <w:pPr>
        <w:spacing w:after="0" w:line="240" w:lineRule="auto"/>
        <w:jc w:val="both"/>
        <w:rPr>
          <w:rFonts w:ascii="Verdana" w:eastAsia="Times New Roman" w:hAnsi="Verdana"/>
          <w:b/>
          <w:kern w:val="0"/>
          <w:sz w:val="20"/>
          <w:szCs w:val="20"/>
          <w14:ligatures w14:val="none"/>
        </w:rPr>
      </w:pPr>
      <w:r>
        <w:rPr>
          <w:rFonts w:ascii="Verdana" w:eastAsia="Times New Roman" w:hAnsi="Verdana"/>
          <w:b/>
          <w:kern w:val="0"/>
          <w:sz w:val="20"/>
          <w:szCs w:val="20"/>
          <w14:ligatures w14:val="none"/>
        </w:rPr>
        <w:t>PRIRODNA NEPOGODA SUŠA 2025. GODINE</w:t>
      </w:r>
    </w:p>
    <w:p w14:paraId="21185CE9" w14:textId="77777777" w:rsidR="001D40D1" w:rsidRDefault="001D40D1" w:rsidP="001D40D1">
      <w:pPr>
        <w:spacing w:after="0" w:line="240" w:lineRule="auto"/>
        <w:jc w:val="both"/>
        <w:rPr>
          <w:rFonts w:ascii="Verdana" w:eastAsia="Times New Roman" w:hAnsi="Verdana"/>
          <w:bCs/>
          <w:color w:val="FF0000"/>
          <w:kern w:val="0"/>
          <w:sz w:val="20"/>
          <w:szCs w:val="20"/>
          <w14:ligatures w14:val="none"/>
        </w:rPr>
      </w:pPr>
    </w:p>
    <w:p w14:paraId="3EB12997"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Uzimajući u obzir dugotrajno sušno razdoblje od svibnja do kolovoza 2025. godine, manjak oborina i  visoke temperature, Gradsko povjerenstvo za procjenu šteta od prirodnih nepogoda obilaskom poljoprivrednih površina utvrdilo je da temeljem članka 3. stavka 4. Zakona o ublažavanju i uklanjanju posljedica prirodnih nepogoda postoje uvjeti za proglašenje prirodne nepogode – suše za područje grada Slunja.</w:t>
      </w:r>
    </w:p>
    <w:p w14:paraId="2D95629E"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6F51C4B"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Utvrđeno je da je prirod (rod) određenih poljoprivrednih kultura umanjen najmanje 30%, </w:t>
      </w:r>
    </w:p>
    <w:p w14:paraId="144B3B5F"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te je na prijedlog Gradonačelnice Grada Slunja dana 11.09.2025. godine </w:t>
      </w:r>
      <w:proofErr w:type="spellStart"/>
      <w:r>
        <w:rPr>
          <w:rFonts w:ascii="Verdana" w:eastAsia="Times New Roman" w:hAnsi="Verdana"/>
          <w:bCs/>
          <w:kern w:val="0"/>
          <w:sz w:val="20"/>
          <w:szCs w:val="20"/>
          <w14:ligatures w14:val="none"/>
        </w:rPr>
        <w:t>Županica</w:t>
      </w:r>
      <w:proofErr w:type="spellEnd"/>
      <w:r>
        <w:rPr>
          <w:rFonts w:ascii="Verdana" w:eastAsia="Times New Roman" w:hAnsi="Verdana"/>
          <w:bCs/>
          <w:kern w:val="0"/>
          <w:sz w:val="20"/>
          <w:szCs w:val="20"/>
          <w14:ligatures w14:val="none"/>
        </w:rPr>
        <w:t xml:space="preserve"> Karlovačka županije donijela Odluku o proglašenju prirodne nepogode – suše za područje Grada Slunja, KLASA: 920-11/2501/1, URBROJ: 2133-01-01/09-25-02.</w:t>
      </w:r>
    </w:p>
    <w:p w14:paraId="253161FD"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7288DC68"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Temeljem članka 25. Zakona Gradsko povjerenstvo zaprimilo je prijave štete od oštećenika na propisanom obrascu u roku 8 dana od donošenja Odluke o proglašenju prirodne nepogode, a u roku 15 dana od donošenja Odluke unesene su prve procjene štete u Registar šteta, digitalne baze podataka o svim štetama nastalim zbog prirodnih nepogoda na području Republike Hrvatske. </w:t>
      </w:r>
    </w:p>
    <w:p w14:paraId="077C7626"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4CCD46BA"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Zaprimljena je prijava štete na poljoprivrednoj proizvodnji 50 poljoprivrednih gospodarstava, i to na obrtnim sredstvima (gubitak priroda) i na višegodišnjim nasadima.</w:t>
      </w:r>
    </w:p>
    <w:p w14:paraId="7A1F2CE0"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19098F61"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Konačna procjena štete utvrđena je u roku 50 dana od dana proglašenja prirodne nepogode i unesena u Registar šteta prema ARCOD parcelama i vrsti kulture. Šteta je utvrđena obilaskom terena od strane Gradskog povjerenstva, dostavljenih prijava od strane oštećenika i Mišljenja stručne službe Ministarstva poljoprivrede, šumarstva i ribarstva.</w:t>
      </w:r>
    </w:p>
    <w:p w14:paraId="1ECE3569"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67E3C752"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 xml:space="preserve">Prema ARCOD parcelama u Registru je evidentiran 231 obrazac štete, ukupno procijenjena šteta je 109.946,42 €, od čega: procijenjena šteta na dugogodišnjim nasadima 11.382,81 € (10 %) i procijenjena šteta na obrtnim sredstvima 98.563,61 € (90 %) (42% kukuruz, 33% trave i </w:t>
      </w:r>
      <w:proofErr w:type="spellStart"/>
      <w:r>
        <w:rPr>
          <w:rFonts w:ascii="Verdana" w:eastAsia="Times New Roman" w:hAnsi="Verdana"/>
          <w:bCs/>
          <w:kern w:val="0"/>
          <w:sz w:val="20"/>
          <w:szCs w:val="20"/>
          <w14:ligatures w14:val="none"/>
        </w:rPr>
        <w:t>travolike</w:t>
      </w:r>
      <w:proofErr w:type="spellEnd"/>
      <w:r>
        <w:rPr>
          <w:rFonts w:ascii="Verdana" w:eastAsia="Times New Roman" w:hAnsi="Verdana"/>
          <w:bCs/>
          <w:kern w:val="0"/>
          <w:sz w:val="20"/>
          <w:szCs w:val="20"/>
          <w14:ligatures w14:val="none"/>
        </w:rPr>
        <w:t xml:space="preserve"> paše, </w:t>
      </w:r>
      <w:proofErr w:type="spellStart"/>
      <w:r>
        <w:rPr>
          <w:rFonts w:ascii="Verdana" w:eastAsia="Times New Roman" w:hAnsi="Verdana"/>
          <w:bCs/>
          <w:kern w:val="0"/>
          <w:sz w:val="20"/>
          <w:szCs w:val="20"/>
          <w14:ligatures w14:val="none"/>
        </w:rPr>
        <w:t>lucerna</w:t>
      </w:r>
      <w:proofErr w:type="spellEnd"/>
      <w:r>
        <w:rPr>
          <w:rFonts w:ascii="Verdana" w:eastAsia="Times New Roman" w:hAnsi="Verdana"/>
          <w:bCs/>
          <w:kern w:val="0"/>
          <w:sz w:val="20"/>
          <w:szCs w:val="20"/>
          <w14:ligatures w14:val="none"/>
        </w:rPr>
        <w:t>, krški pašnjak, 14 % ozimi i jari usjevi, 1% sve ostale kulture).</w:t>
      </w:r>
    </w:p>
    <w:p w14:paraId="28628E40" w14:textId="77777777" w:rsidR="001D40D1" w:rsidRDefault="001D40D1" w:rsidP="001D40D1">
      <w:pPr>
        <w:spacing w:after="0" w:line="240" w:lineRule="auto"/>
        <w:jc w:val="both"/>
        <w:rPr>
          <w:rFonts w:ascii="Verdana" w:eastAsia="Times New Roman" w:hAnsi="Verdana"/>
          <w:bCs/>
          <w:color w:val="FF0000"/>
          <w:kern w:val="0"/>
          <w:sz w:val="20"/>
          <w:szCs w:val="20"/>
          <w14:ligatures w14:val="none"/>
        </w:rPr>
      </w:pPr>
    </w:p>
    <w:p w14:paraId="67F7F195"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Šteta je potvrđena od strane Županijskog povjerenstva za procjenu šteta od prirodnih nepogoda, očekuje se odobrenje pomoći od nadležnih tijela.</w:t>
      </w:r>
    </w:p>
    <w:p w14:paraId="2DFBD425" w14:textId="77777777" w:rsidR="001D40D1" w:rsidRDefault="001D40D1" w:rsidP="001D40D1">
      <w:pPr>
        <w:spacing w:after="0" w:line="240" w:lineRule="auto"/>
        <w:jc w:val="both"/>
        <w:rPr>
          <w:rFonts w:ascii="Verdana" w:eastAsia="Times New Roman" w:hAnsi="Verdana"/>
          <w:bCs/>
          <w:color w:val="FF0000"/>
          <w:kern w:val="0"/>
          <w:sz w:val="20"/>
          <w:szCs w:val="20"/>
          <w14:ligatures w14:val="none"/>
        </w:rPr>
      </w:pPr>
    </w:p>
    <w:p w14:paraId="31066250"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CF66CDB"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74BAE692"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t>GRADONAČELNICA</w:t>
      </w:r>
    </w:p>
    <w:p w14:paraId="412C6726" w14:textId="77777777" w:rsidR="001D40D1" w:rsidRDefault="001D40D1" w:rsidP="001D40D1">
      <w:pPr>
        <w:spacing w:after="0" w:line="240" w:lineRule="auto"/>
        <w:jc w:val="both"/>
        <w:rPr>
          <w:rFonts w:ascii="Verdana" w:eastAsia="Times New Roman" w:hAnsi="Verdana"/>
          <w:bCs/>
          <w:kern w:val="0"/>
          <w:sz w:val="20"/>
          <w:szCs w:val="20"/>
          <w14:ligatures w14:val="none"/>
        </w:rPr>
      </w:pPr>
    </w:p>
    <w:p w14:paraId="5F7DFD3C" w14:textId="77777777" w:rsidR="001D40D1" w:rsidRDefault="001D40D1" w:rsidP="001D40D1">
      <w:pPr>
        <w:spacing w:after="0" w:line="240" w:lineRule="auto"/>
        <w:jc w:val="both"/>
        <w:rPr>
          <w:rFonts w:ascii="Verdana" w:eastAsia="Times New Roman" w:hAnsi="Verdana"/>
          <w:bCs/>
          <w:kern w:val="0"/>
          <w:sz w:val="20"/>
          <w:szCs w:val="20"/>
          <w14:ligatures w14:val="none"/>
        </w:rPr>
      </w:pP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r>
      <w:r>
        <w:rPr>
          <w:rFonts w:ascii="Verdana" w:eastAsia="Times New Roman" w:hAnsi="Verdana"/>
          <w:bCs/>
          <w:kern w:val="0"/>
          <w:sz w:val="20"/>
          <w:szCs w:val="20"/>
          <w14:ligatures w14:val="none"/>
        </w:rPr>
        <w:tab/>
        <w:t xml:space="preserve">             Mirjana Puškarić, mag. </w:t>
      </w:r>
      <w:proofErr w:type="spellStart"/>
      <w:r>
        <w:rPr>
          <w:rFonts w:ascii="Verdana" w:eastAsia="Times New Roman" w:hAnsi="Verdana"/>
          <w:bCs/>
          <w:kern w:val="0"/>
          <w:sz w:val="20"/>
          <w:szCs w:val="20"/>
          <w14:ligatures w14:val="none"/>
        </w:rPr>
        <w:t>oec</w:t>
      </w:r>
      <w:proofErr w:type="spellEnd"/>
      <w:r>
        <w:rPr>
          <w:rFonts w:ascii="Verdana" w:eastAsia="Times New Roman" w:hAnsi="Verdana"/>
          <w:bCs/>
          <w:kern w:val="0"/>
          <w:sz w:val="20"/>
          <w:szCs w:val="20"/>
          <w14:ligatures w14:val="none"/>
        </w:rPr>
        <w:t>., v.r.</w:t>
      </w:r>
    </w:p>
    <w:p w14:paraId="7F68DE3B" w14:textId="77777777" w:rsidR="001D40D1" w:rsidRDefault="001D40D1" w:rsidP="001D40D1">
      <w:pPr>
        <w:spacing w:after="0" w:line="240" w:lineRule="auto"/>
        <w:jc w:val="both"/>
        <w:rPr>
          <w:rFonts w:ascii="Verdana" w:eastAsia="Times New Roman" w:hAnsi="Verdana" w:cs="Arial"/>
          <w:kern w:val="0"/>
          <w:sz w:val="20"/>
          <w:szCs w:val="20"/>
          <w:lang w:val="en-GB"/>
          <w14:ligatures w14:val="none"/>
        </w:rPr>
      </w:pPr>
    </w:p>
    <w:p w14:paraId="75226BCD" w14:textId="77777777" w:rsidR="001D40D1" w:rsidRDefault="001D40D1" w:rsidP="001D40D1">
      <w:pPr>
        <w:spacing w:after="0" w:line="240" w:lineRule="auto"/>
        <w:ind w:firstLine="708"/>
        <w:jc w:val="both"/>
        <w:rPr>
          <w:rFonts w:ascii="Verdana" w:eastAsia="Times New Roman" w:hAnsi="Verdana" w:cs="Arial"/>
          <w:kern w:val="0"/>
          <w:sz w:val="20"/>
          <w:szCs w:val="20"/>
          <w:lang w:val="en-GB"/>
          <w14:ligatures w14:val="none"/>
        </w:rPr>
      </w:pPr>
    </w:p>
    <w:p w14:paraId="448E86BE" w14:textId="77777777" w:rsidR="001D40D1" w:rsidRDefault="001D40D1" w:rsidP="001D40D1"/>
    <w:p w14:paraId="3121A7A8" w14:textId="77777777" w:rsidR="00A727FC" w:rsidRDefault="00A727FC"/>
    <w:sectPr w:rsidR="00A72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27"/>
    <w:multiLevelType w:val="hybridMultilevel"/>
    <w:tmpl w:val="0EBCAF7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80972AF"/>
    <w:multiLevelType w:val="hybridMultilevel"/>
    <w:tmpl w:val="2E500970"/>
    <w:lvl w:ilvl="0" w:tplc="8F80AA70">
      <w:start w:val="1"/>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463759F"/>
    <w:multiLevelType w:val="hybridMultilevel"/>
    <w:tmpl w:val="8E56F9FC"/>
    <w:lvl w:ilvl="0" w:tplc="6BA64312">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649795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836468">
    <w:abstractNumId w:val="1"/>
    <w:lvlOverride w:ilvl="0"/>
    <w:lvlOverride w:ilvl="1"/>
    <w:lvlOverride w:ilvl="2"/>
    <w:lvlOverride w:ilvl="3"/>
    <w:lvlOverride w:ilvl="4"/>
    <w:lvlOverride w:ilvl="5"/>
    <w:lvlOverride w:ilvl="6"/>
    <w:lvlOverride w:ilvl="7"/>
    <w:lvlOverride w:ilvl="8"/>
  </w:num>
  <w:num w:numId="3" w16cid:durableId="1004624963">
    <w:abstractNumId w:val="2"/>
    <w:lvlOverride w:ilvl="0"/>
    <w:lvlOverride w:ilvl="1"/>
    <w:lvlOverride w:ilvl="2"/>
    <w:lvlOverride w:ilvl="3"/>
    <w:lvlOverride w:ilvl="4"/>
    <w:lvlOverride w:ilvl="5"/>
    <w:lvlOverride w:ilvl="6"/>
    <w:lvlOverride w:ilvl="7"/>
    <w:lvlOverride w:ilvl="8"/>
  </w:num>
  <w:num w:numId="4" w16cid:durableId="1041710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D1"/>
    <w:rsid w:val="00135C77"/>
    <w:rsid w:val="001D40D1"/>
    <w:rsid w:val="00A727FC"/>
    <w:rsid w:val="00A90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2ED6"/>
  <w15:chartTrackingRefBased/>
  <w15:docId w15:val="{41734E7A-D9EF-4BD4-AEF1-9B8424F5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D1"/>
    <w:pPr>
      <w:spacing w:line="276" w:lineRule="auto"/>
    </w:pPr>
    <w:rPr>
      <w:rFonts w:ascii="Aptos" w:eastAsia="Aptos" w:hAnsi="Aptos" w:cs="Times New Roman"/>
    </w:rPr>
  </w:style>
  <w:style w:type="paragraph" w:styleId="Naslov1">
    <w:name w:val="heading 1"/>
    <w:basedOn w:val="Normal"/>
    <w:next w:val="Normal"/>
    <w:link w:val="Naslov1Char"/>
    <w:uiPriority w:val="9"/>
    <w:qFormat/>
    <w:rsid w:val="001D4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D4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D40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D40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D40D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D40D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D40D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D40D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D40D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40D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D40D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D40D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D40D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D40D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D40D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D40D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D40D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D40D1"/>
    <w:rPr>
      <w:rFonts w:eastAsiaTheme="majorEastAsia" w:cstheme="majorBidi"/>
      <w:color w:val="272727" w:themeColor="text1" w:themeTint="D8"/>
    </w:rPr>
  </w:style>
  <w:style w:type="paragraph" w:styleId="Naslov">
    <w:name w:val="Title"/>
    <w:basedOn w:val="Normal"/>
    <w:next w:val="Normal"/>
    <w:link w:val="NaslovChar"/>
    <w:uiPriority w:val="10"/>
    <w:qFormat/>
    <w:rsid w:val="001D4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D40D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D40D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D40D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40D1"/>
    <w:pPr>
      <w:spacing w:before="160"/>
      <w:jc w:val="center"/>
    </w:pPr>
    <w:rPr>
      <w:i/>
      <w:iCs/>
      <w:color w:val="404040" w:themeColor="text1" w:themeTint="BF"/>
    </w:rPr>
  </w:style>
  <w:style w:type="character" w:customStyle="1" w:styleId="CitatChar">
    <w:name w:val="Citat Char"/>
    <w:basedOn w:val="Zadanifontodlomka"/>
    <w:link w:val="Citat"/>
    <w:uiPriority w:val="29"/>
    <w:rsid w:val="001D40D1"/>
    <w:rPr>
      <w:i/>
      <w:iCs/>
      <w:color w:val="404040" w:themeColor="text1" w:themeTint="BF"/>
    </w:rPr>
  </w:style>
  <w:style w:type="paragraph" w:styleId="Odlomakpopisa">
    <w:name w:val="List Paragraph"/>
    <w:basedOn w:val="Normal"/>
    <w:uiPriority w:val="34"/>
    <w:qFormat/>
    <w:rsid w:val="001D40D1"/>
    <w:pPr>
      <w:ind w:left="720"/>
      <w:contextualSpacing/>
    </w:pPr>
  </w:style>
  <w:style w:type="character" w:styleId="Jakoisticanje">
    <w:name w:val="Intense Emphasis"/>
    <w:basedOn w:val="Zadanifontodlomka"/>
    <w:uiPriority w:val="21"/>
    <w:qFormat/>
    <w:rsid w:val="001D40D1"/>
    <w:rPr>
      <w:i/>
      <w:iCs/>
      <w:color w:val="0F4761" w:themeColor="accent1" w:themeShade="BF"/>
    </w:rPr>
  </w:style>
  <w:style w:type="paragraph" w:styleId="Naglaencitat">
    <w:name w:val="Intense Quote"/>
    <w:basedOn w:val="Normal"/>
    <w:next w:val="Normal"/>
    <w:link w:val="NaglaencitatChar"/>
    <w:uiPriority w:val="30"/>
    <w:qFormat/>
    <w:rsid w:val="001D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D40D1"/>
    <w:rPr>
      <w:i/>
      <w:iCs/>
      <w:color w:val="0F4761" w:themeColor="accent1" w:themeShade="BF"/>
    </w:rPr>
  </w:style>
  <w:style w:type="character" w:styleId="Istaknutareferenca">
    <w:name w:val="Intense Reference"/>
    <w:basedOn w:val="Zadanifontodlomka"/>
    <w:uiPriority w:val="32"/>
    <w:qFormat/>
    <w:rsid w:val="001D4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Dragoslava Cindrić</dc:creator>
  <cp:keywords/>
  <dc:description/>
  <cp:lastModifiedBy>Dragoslava Cindrić</cp:lastModifiedBy>
  <cp:revision>2</cp:revision>
  <dcterms:created xsi:type="dcterms:W3CDTF">2026-03-11T11:15:00Z</dcterms:created>
  <dcterms:modified xsi:type="dcterms:W3CDTF">2026-03-11T11:17:00Z</dcterms:modified>
</cp:coreProperties>
</file>