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056F1" w14:textId="77777777" w:rsidR="00745242" w:rsidRDefault="00745242" w:rsidP="00745242">
      <w:pPr>
        <w:spacing w:after="4"/>
        <w:ind w:left="-5" w:hanging="10"/>
      </w:pPr>
      <w:r>
        <w:rPr>
          <w:b/>
          <w:sz w:val="24"/>
        </w:rPr>
        <w:t xml:space="preserve">UPUTE I OBAVIJESTI KANDIDATIMA  </w:t>
      </w:r>
    </w:p>
    <w:p w14:paraId="5E744FB0" w14:textId="77777777" w:rsidR="00745242" w:rsidRDefault="00745242" w:rsidP="00745242">
      <w:pPr>
        <w:spacing w:after="1"/>
      </w:pPr>
      <w:r>
        <w:rPr>
          <w:sz w:val="24"/>
        </w:rPr>
        <w:t xml:space="preserve"> </w:t>
      </w:r>
    </w:p>
    <w:p w14:paraId="2F22019C" w14:textId="0AD5AA88" w:rsidR="00745242" w:rsidRPr="00981CA5" w:rsidRDefault="00004A99" w:rsidP="00745242">
      <w:pPr>
        <w:spacing w:after="7" w:line="248" w:lineRule="auto"/>
        <w:ind w:left="-5" w:hanging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Javni natječaj za </w:t>
      </w:r>
      <w:r w:rsidR="00745242" w:rsidRPr="00981CA5">
        <w:rPr>
          <w:sz w:val="24"/>
          <w:szCs w:val="24"/>
        </w:rPr>
        <w:t xml:space="preserve">prijem u službu </w:t>
      </w:r>
      <w:r w:rsidR="00745242" w:rsidRPr="00981CA5">
        <w:rPr>
          <w:b/>
          <w:bCs/>
          <w:sz w:val="24"/>
          <w:szCs w:val="24"/>
        </w:rPr>
        <w:t xml:space="preserve">na </w:t>
      </w:r>
      <w:r>
        <w:rPr>
          <w:b/>
          <w:bCs/>
          <w:sz w:val="24"/>
          <w:szCs w:val="24"/>
        </w:rPr>
        <w:t>ne</w:t>
      </w:r>
      <w:r w:rsidR="00745242" w:rsidRPr="00981CA5">
        <w:rPr>
          <w:b/>
          <w:bCs/>
          <w:sz w:val="24"/>
          <w:szCs w:val="24"/>
        </w:rPr>
        <w:t>određeno vrijeme</w:t>
      </w:r>
      <w:r w:rsidR="00745242" w:rsidRPr="00981CA5">
        <w:rPr>
          <w:sz w:val="24"/>
          <w:szCs w:val="24"/>
        </w:rPr>
        <w:t xml:space="preserve"> u Jedinstveni upravni odjel, Odsjek za  proračun i financije na radno mjesto</w:t>
      </w:r>
      <w:r w:rsidR="00745242" w:rsidRPr="00981CA5">
        <w:rPr>
          <w:b/>
          <w:sz w:val="24"/>
          <w:szCs w:val="24"/>
        </w:rPr>
        <w:t xml:space="preserve"> </w:t>
      </w:r>
      <w:r w:rsidR="00745242" w:rsidRPr="00981CA5">
        <w:rPr>
          <w:b/>
          <w:bCs/>
          <w:sz w:val="24"/>
          <w:szCs w:val="24"/>
        </w:rPr>
        <w:t xml:space="preserve">referent za računovodstvo i naplatu gradskih prihoda </w:t>
      </w:r>
      <w:r w:rsidR="00745242" w:rsidRPr="00981CA5">
        <w:rPr>
          <w:sz w:val="24"/>
          <w:szCs w:val="24"/>
        </w:rPr>
        <w:t xml:space="preserve">objavljen je </w:t>
      </w:r>
      <w:r>
        <w:rPr>
          <w:sz w:val="24"/>
          <w:szCs w:val="24"/>
        </w:rPr>
        <w:t xml:space="preserve">u „Narodnim novinama“ br. </w:t>
      </w:r>
      <w:r w:rsidR="00524341">
        <w:rPr>
          <w:sz w:val="24"/>
          <w:szCs w:val="24"/>
        </w:rPr>
        <w:t>94</w:t>
      </w:r>
      <w:r>
        <w:rPr>
          <w:sz w:val="24"/>
          <w:szCs w:val="24"/>
        </w:rPr>
        <w:t>/2025</w:t>
      </w:r>
      <w:r w:rsidR="00745242">
        <w:rPr>
          <w:sz w:val="24"/>
          <w:szCs w:val="24"/>
        </w:rPr>
        <w:t xml:space="preserve"> dana</w:t>
      </w:r>
      <w:r>
        <w:rPr>
          <w:sz w:val="24"/>
          <w:szCs w:val="24"/>
        </w:rPr>
        <w:t xml:space="preserve"> </w:t>
      </w:r>
      <w:r w:rsidR="00745242">
        <w:rPr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r w:rsidR="00745242">
        <w:rPr>
          <w:sz w:val="24"/>
          <w:szCs w:val="24"/>
        </w:rPr>
        <w:t>.</w:t>
      </w:r>
      <w:r w:rsidR="00745242" w:rsidRPr="00981C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svibnja </w:t>
      </w:r>
      <w:r w:rsidR="00745242" w:rsidRPr="00981CA5">
        <w:rPr>
          <w:sz w:val="24"/>
          <w:szCs w:val="24"/>
        </w:rPr>
        <w:t>202</w:t>
      </w:r>
      <w:r w:rsidR="00745242">
        <w:rPr>
          <w:sz w:val="24"/>
          <w:szCs w:val="24"/>
        </w:rPr>
        <w:t>5</w:t>
      </w:r>
      <w:r w:rsidR="00745242" w:rsidRPr="00981CA5">
        <w:rPr>
          <w:sz w:val="24"/>
          <w:szCs w:val="24"/>
        </w:rPr>
        <w:t xml:space="preserve">. godine. Prijave se podnose osobno ili poštom preporučeno u roku od 8 (osam) dana, te je krajnji rok </w:t>
      </w:r>
      <w:r>
        <w:rPr>
          <w:sz w:val="24"/>
          <w:szCs w:val="24"/>
        </w:rPr>
        <w:t>03</w:t>
      </w:r>
      <w:r w:rsidR="00745242" w:rsidRPr="00981CA5">
        <w:rPr>
          <w:sz w:val="24"/>
          <w:szCs w:val="24"/>
        </w:rPr>
        <w:t xml:space="preserve">. </w:t>
      </w:r>
      <w:r>
        <w:rPr>
          <w:sz w:val="24"/>
          <w:szCs w:val="24"/>
        </w:rPr>
        <w:t>srpanj</w:t>
      </w:r>
      <w:r w:rsidR="00745242" w:rsidRPr="00981CA5">
        <w:rPr>
          <w:sz w:val="24"/>
          <w:szCs w:val="24"/>
        </w:rPr>
        <w:t xml:space="preserve"> 202</w:t>
      </w:r>
      <w:r w:rsidR="00745242">
        <w:rPr>
          <w:sz w:val="24"/>
          <w:szCs w:val="24"/>
        </w:rPr>
        <w:t>5</w:t>
      </w:r>
      <w:r w:rsidR="00745242" w:rsidRPr="00981CA5">
        <w:rPr>
          <w:sz w:val="24"/>
          <w:szCs w:val="24"/>
        </w:rPr>
        <w:t xml:space="preserve">. godine.  </w:t>
      </w:r>
    </w:p>
    <w:p w14:paraId="46A47C03" w14:textId="77777777" w:rsidR="00745242" w:rsidRPr="00981CA5" w:rsidRDefault="00745242" w:rsidP="00745242">
      <w:pPr>
        <w:rPr>
          <w:sz w:val="24"/>
          <w:szCs w:val="24"/>
        </w:rPr>
      </w:pPr>
      <w:r w:rsidRPr="00981CA5">
        <w:rPr>
          <w:sz w:val="24"/>
          <w:szCs w:val="24"/>
        </w:rPr>
        <w:t xml:space="preserve"> </w:t>
      </w:r>
    </w:p>
    <w:p w14:paraId="2F365DBA" w14:textId="77777777" w:rsidR="00745242" w:rsidRPr="00981CA5" w:rsidRDefault="00745242" w:rsidP="00745242">
      <w:pPr>
        <w:spacing w:after="4" w:line="251" w:lineRule="auto"/>
        <w:ind w:left="-5" w:hanging="10"/>
        <w:jc w:val="both"/>
        <w:rPr>
          <w:b/>
          <w:sz w:val="24"/>
          <w:szCs w:val="24"/>
        </w:rPr>
      </w:pPr>
      <w:r w:rsidRPr="00981CA5">
        <w:rPr>
          <w:b/>
          <w:sz w:val="24"/>
          <w:szCs w:val="24"/>
        </w:rPr>
        <w:t xml:space="preserve">Opis poslova radnog mjesta referent za računovodstvo i naplatu gradskih prihoda: </w:t>
      </w:r>
    </w:p>
    <w:p w14:paraId="53B66BDB" w14:textId="77777777" w:rsidR="00745242" w:rsidRPr="00981CA5" w:rsidRDefault="00745242" w:rsidP="00745242">
      <w:pPr>
        <w:pStyle w:val="Bezproreda"/>
        <w:rPr>
          <w:rFonts w:ascii="Times New Roman" w:hAnsi="Times New Roman"/>
          <w:sz w:val="24"/>
          <w:szCs w:val="24"/>
        </w:rPr>
      </w:pPr>
      <w:r w:rsidRPr="00981CA5">
        <w:rPr>
          <w:rFonts w:ascii="Times New Roman" w:hAnsi="Times New Roman"/>
          <w:sz w:val="24"/>
          <w:szCs w:val="24"/>
        </w:rPr>
        <w:t xml:space="preserve">- obavlja poslove kontiranja i knjiženja računovodstvene dokumentacije </w:t>
      </w:r>
    </w:p>
    <w:p w14:paraId="18548EBF" w14:textId="77777777" w:rsidR="00745242" w:rsidRPr="00981CA5" w:rsidRDefault="00745242" w:rsidP="00745242">
      <w:pPr>
        <w:pStyle w:val="Bezproreda"/>
        <w:rPr>
          <w:rFonts w:ascii="Times New Roman" w:hAnsi="Times New Roman"/>
          <w:sz w:val="24"/>
          <w:szCs w:val="24"/>
        </w:rPr>
      </w:pPr>
      <w:r w:rsidRPr="00981CA5">
        <w:rPr>
          <w:rFonts w:ascii="Times New Roman" w:hAnsi="Times New Roman"/>
          <w:sz w:val="24"/>
          <w:szCs w:val="24"/>
        </w:rPr>
        <w:t xml:space="preserve">- vodi i ažurira knjigovodstvene evidencije koje se odnose na gradske prihode </w:t>
      </w:r>
    </w:p>
    <w:p w14:paraId="7EF4F539" w14:textId="77777777" w:rsidR="00745242" w:rsidRPr="00981CA5" w:rsidRDefault="00745242" w:rsidP="00745242">
      <w:pPr>
        <w:pStyle w:val="Bezproreda"/>
        <w:rPr>
          <w:rFonts w:ascii="Times New Roman" w:hAnsi="Times New Roman"/>
          <w:sz w:val="24"/>
          <w:szCs w:val="24"/>
        </w:rPr>
      </w:pPr>
      <w:r w:rsidRPr="00981CA5">
        <w:rPr>
          <w:rFonts w:ascii="Times New Roman" w:hAnsi="Times New Roman"/>
          <w:sz w:val="24"/>
          <w:szCs w:val="24"/>
        </w:rPr>
        <w:t xml:space="preserve">- vodi analitičku evidenciju imovine i vrši obračun amortizacije </w:t>
      </w:r>
    </w:p>
    <w:p w14:paraId="1670829F" w14:textId="77777777" w:rsidR="00745242" w:rsidRPr="00981CA5" w:rsidRDefault="00745242" w:rsidP="00745242">
      <w:pPr>
        <w:pStyle w:val="Bezproreda"/>
        <w:rPr>
          <w:rFonts w:ascii="Times New Roman" w:hAnsi="Times New Roman"/>
          <w:sz w:val="24"/>
          <w:szCs w:val="24"/>
        </w:rPr>
      </w:pPr>
      <w:r w:rsidRPr="00981CA5">
        <w:rPr>
          <w:rFonts w:ascii="Times New Roman" w:hAnsi="Times New Roman"/>
          <w:sz w:val="24"/>
          <w:szCs w:val="24"/>
        </w:rPr>
        <w:t xml:space="preserve">- obavlja  druge poslove po nalogu pročelnika i voditelja Odsjeka </w:t>
      </w:r>
    </w:p>
    <w:p w14:paraId="754FCB6D" w14:textId="77777777" w:rsidR="00745242" w:rsidRPr="00981CA5" w:rsidRDefault="00745242" w:rsidP="00745242">
      <w:pPr>
        <w:spacing w:after="4" w:line="251" w:lineRule="auto"/>
        <w:ind w:left="-5" w:hanging="10"/>
        <w:rPr>
          <w:sz w:val="24"/>
          <w:szCs w:val="24"/>
        </w:rPr>
      </w:pPr>
    </w:p>
    <w:p w14:paraId="113C013F" w14:textId="77777777" w:rsidR="00745242" w:rsidRDefault="00745242" w:rsidP="00745242">
      <w:pPr>
        <w:spacing w:after="4"/>
        <w:ind w:left="-5" w:hanging="10"/>
      </w:pPr>
      <w:r>
        <w:rPr>
          <w:b/>
          <w:sz w:val="24"/>
        </w:rPr>
        <w:t xml:space="preserve">Podaci o plaći: </w:t>
      </w:r>
    </w:p>
    <w:p w14:paraId="4608900C" w14:textId="77777777" w:rsidR="00745242" w:rsidRPr="00137A3B" w:rsidRDefault="00745242" w:rsidP="00745242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137A3B">
        <w:rPr>
          <w:rFonts w:ascii="Times New Roman" w:eastAsia="Times New Roman" w:hAnsi="Times New Roman"/>
          <w:sz w:val="24"/>
          <w:szCs w:val="24"/>
        </w:rPr>
        <w:t xml:space="preserve">Plaću službenika čini umnožak koeficijenta složenosti poslova radnog mjesta na koje je raspoređen i osnovice za izračun plaće. </w:t>
      </w:r>
    </w:p>
    <w:p w14:paraId="518B051C" w14:textId="77777777" w:rsidR="00745242" w:rsidRPr="00137A3B" w:rsidRDefault="00745242" w:rsidP="00745242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137A3B">
        <w:rPr>
          <w:rFonts w:ascii="Times New Roman" w:eastAsia="Times New Roman" w:hAnsi="Times New Roman"/>
          <w:sz w:val="24"/>
          <w:szCs w:val="24"/>
        </w:rPr>
        <w:t>Koeficijenti složenosti poslova propisani su Odlukom o koeficijentima za obračun plaće službenika i namještenika u upravnom tijelu Grada („Službeni glasnik Grada Slunja“ 3/24,  10/24).  Za radno mjesto</w:t>
      </w:r>
      <w:r>
        <w:rPr>
          <w:rFonts w:ascii="Times New Roman" w:eastAsia="Times New Roman" w:hAnsi="Times New Roman"/>
          <w:sz w:val="24"/>
          <w:szCs w:val="24"/>
        </w:rPr>
        <w:t xml:space="preserve"> referenta </w:t>
      </w:r>
      <w:r w:rsidRPr="00137A3B">
        <w:rPr>
          <w:rFonts w:ascii="Times New Roman" w:eastAsia="Times New Roman" w:hAnsi="Times New Roman"/>
          <w:sz w:val="24"/>
          <w:szCs w:val="24"/>
        </w:rPr>
        <w:t xml:space="preserve">utvrđen je  koeficijent 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Pr="00137A3B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137A3B">
        <w:rPr>
          <w:rFonts w:ascii="Times New Roman" w:eastAsia="Times New Roman" w:hAnsi="Times New Roman"/>
          <w:sz w:val="24"/>
          <w:szCs w:val="24"/>
        </w:rPr>
        <w:t>5. Osnovica za obračun plaće iznosi 9</w:t>
      </w:r>
      <w:r>
        <w:rPr>
          <w:rFonts w:ascii="Times New Roman" w:eastAsia="Times New Roman" w:hAnsi="Times New Roman"/>
          <w:sz w:val="24"/>
          <w:szCs w:val="24"/>
        </w:rPr>
        <w:t>75</w:t>
      </w:r>
      <w:r w:rsidRPr="00137A3B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>60</w:t>
      </w:r>
      <w:r w:rsidRPr="00137A3B">
        <w:rPr>
          <w:rFonts w:ascii="Times New Roman" w:eastAsia="Times New Roman" w:hAnsi="Times New Roman"/>
          <w:sz w:val="24"/>
          <w:szCs w:val="24"/>
        </w:rPr>
        <w:t xml:space="preserve"> €.  </w:t>
      </w:r>
    </w:p>
    <w:p w14:paraId="5D4FDA76" w14:textId="77777777" w:rsidR="00745242" w:rsidRDefault="00745242" w:rsidP="00745242"/>
    <w:p w14:paraId="5B7CD228" w14:textId="77777777" w:rsidR="00745242" w:rsidRDefault="00745242" w:rsidP="00745242">
      <w:pPr>
        <w:spacing w:after="4"/>
        <w:ind w:left="-5" w:hanging="10"/>
      </w:pPr>
      <w:r>
        <w:rPr>
          <w:b/>
          <w:sz w:val="24"/>
        </w:rPr>
        <w:t xml:space="preserve">Provjera znanja i sposobnosti </w:t>
      </w:r>
    </w:p>
    <w:p w14:paraId="5E973AF2" w14:textId="77777777" w:rsidR="00745242" w:rsidRDefault="00745242" w:rsidP="00745242">
      <w:pPr>
        <w:spacing w:after="7" w:line="248" w:lineRule="auto"/>
        <w:ind w:left="-5" w:hanging="10"/>
        <w:jc w:val="both"/>
      </w:pPr>
      <w:r>
        <w:rPr>
          <w:sz w:val="24"/>
        </w:rPr>
        <w:t xml:space="preserve">Za kandidate prijavljene na natječaj koji ispunjavaju formalne uvjete natječaja provest će se testiranje radi prethodne provjere znanja i sposobnosti.  </w:t>
      </w:r>
    </w:p>
    <w:p w14:paraId="6ABD3DC3" w14:textId="77777777" w:rsidR="00745242" w:rsidRDefault="00745242" w:rsidP="00745242">
      <w:pPr>
        <w:spacing w:after="30" w:line="248" w:lineRule="auto"/>
        <w:ind w:left="-5" w:hanging="10"/>
        <w:jc w:val="both"/>
      </w:pPr>
      <w:r>
        <w:rPr>
          <w:sz w:val="24"/>
        </w:rPr>
        <w:t xml:space="preserve">Smatra se da je kandidat, koji nije pristupio prethodnoj provjeri znanja, povukao svoju prijavu na natječaj.  </w:t>
      </w:r>
    </w:p>
    <w:p w14:paraId="78F75899" w14:textId="77777777" w:rsidR="00745242" w:rsidRDefault="00745242" w:rsidP="00745242">
      <w:pPr>
        <w:spacing w:after="7" w:line="248" w:lineRule="auto"/>
        <w:ind w:left="-5" w:hanging="10"/>
        <w:jc w:val="both"/>
      </w:pPr>
      <w:r>
        <w:rPr>
          <w:sz w:val="24"/>
        </w:rPr>
        <w:t xml:space="preserve">Za svaki dio provjere kandidatima se dodjeljuje određeni broj bodova od 1 do 10. Intervju se provodi samo sa kandidatima koji su ostvarili najmanje 50% ukupnog broja bodova na testiranju. </w:t>
      </w:r>
    </w:p>
    <w:p w14:paraId="440EE1F7" w14:textId="77777777" w:rsidR="00745242" w:rsidRDefault="00745242" w:rsidP="00745242">
      <w:r>
        <w:rPr>
          <w:sz w:val="24"/>
        </w:rPr>
        <w:t xml:space="preserve"> </w:t>
      </w:r>
    </w:p>
    <w:p w14:paraId="09FF884A" w14:textId="77777777" w:rsidR="00745242" w:rsidRDefault="00745242" w:rsidP="00745242">
      <w:pPr>
        <w:spacing w:after="7" w:line="248" w:lineRule="auto"/>
        <w:ind w:left="-5" w:hanging="10"/>
        <w:jc w:val="both"/>
      </w:pPr>
      <w:r>
        <w:rPr>
          <w:sz w:val="24"/>
        </w:rPr>
        <w:t xml:space="preserve">Mjesto i vrijeme testiranja biti će objavljeno na web stranici Grada Slunja www.slunj.hr, te na oglasnoj ploči Grada na adresi Trg dr. Franje Tuđmana 12, najmanje 5 dana prije testiranja.  </w:t>
      </w:r>
    </w:p>
    <w:p w14:paraId="2B1C4445" w14:textId="77777777" w:rsidR="00745242" w:rsidRDefault="00745242" w:rsidP="00745242">
      <w:r>
        <w:rPr>
          <w:sz w:val="24"/>
        </w:rPr>
        <w:t xml:space="preserve"> </w:t>
      </w:r>
    </w:p>
    <w:p w14:paraId="7673C62F" w14:textId="77777777" w:rsidR="00745242" w:rsidRDefault="00745242" w:rsidP="00745242">
      <w:pPr>
        <w:spacing w:after="4"/>
        <w:ind w:left="-5" w:hanging="10"/>
      </w:pPr>
      <w:r>
        <w:rPr>
          <w:b/>
          <w:sz w:val="24"/>
        </w:rPr>
        <w:t xml:space="preserve">Pravni i drugi izvori za pripremanje kandidata za testiranje </w:t>
      </w:r>
    </w:p>
    <w:p w14:paraId="5286DEFA" w14:textId="77777777" w:rsidR="00745242" w:rsidRPr="00587B54" w:rsidRDefault="00745242" w:rsidP="00745242">
      <w:pPr>
        <w:spacing w:after="31" w:line="248" w:lineRule="auto"/>
        <w:ind w:left="-5" w:hanging="10"/>
        <w:jc w:val="both"/>
        <w:rPr>
          <w:sz w:val="24"/>
          <w:szCs w:val="24"/>
        </w:rPr>
      </w:pPr>
      <w:r>
        <w:rPr>
          <w:sz w:val="24"/>
        </w:rPr>
        <w:t xml:space="preserve">-Zakon o lokalnoj i područnoj (regionalnoj) samoupravi (Narodne novine 33/01, 60/01-vjerodostojno tumačenje, 129/05, 109/07, </w:t>
      </w:r>
      <w:r w:rsidRPr="00587B54">
        <w:rPr>
          <w:sz w:val="24"/>
          <w:szCs w:val="24"/>
        </w:rPr>
        <w:t xml:space="preserve">125/08, 36/09, 150/11, 144/12, 19/13, 137/15, 123/17, 98/19, 144/20) </w:t>
      </w:r>
      <w:r>
        <w:rPr>
          <w:sz w:val="24"/>
          <w:szCs w:val="24"/>
        </w:rPr>
        <w:t>– Glave: V. Tijela jedinica lokalne i područne (regionalne) samouprave; VI. Upravni odjeli i službe JLP(R)S; VIII. Imovina  i financiranje JLP(R)S i IX. Akti JLP(R)S</w:t>
      </w:r>
    </w:p>
    <w:p w14:paraId="1B24F7DC" w14:textId="77777777" w:rsidR="00745242" w:rsidRDefault="00745242" w:rsidP="00745242">
      <w:pPr>
        <w:spacing w:after="31" w:line="248" w:lineRule="auto"/>
        <w:ind w:left="-15"/>
        <w:jc w:val="both"/>
        <w:rPr>
          <w:sz w:val="24"/>
        </w:rPr>
      </w:pPr>
      <w:r>
        <w:rPr>
          <w:sz w:val="24"/>
        </w:rPr>
        <w:t>-Zakon o službenicima i namještenicima  u lokalnoj i područnoj (regionalnoj) samoupravi ("Narodne novine" 86/08, 61/11, 4/18 i 112/19)</w:t>
      </w:r>
    </w:p>
    <w:p w14:paraId="744580FF" w14:textId="77777777" w:rsidR="00745242" w:rsidRDefault="00745242" w:rsidP="00745242">
      <w:pPr>
        <w:spacing w:after="31" w:line="248" w:lineRule="auto"/>
        <w:ind w:left="-5" w:hanging="10"/>
        <w:jc w:val="both"/>
      </w:pPr>
      <w:r>
        <w:rPr>
          <w:sz w:val="24"/>
        </w:rPr>
        <w:t xml:space="preserve"> -Zakon o proračunu („Narodne novine"   144/21)</w:t>
      </w:r>
    </w:p>
    <w:p w14:paraId="29729AD1" w14:textId="77777777" w:rsidR="00745242" w:rsidRPr="00981CA5" w:rsidRDefault="00745242" w:rsidP="00745242">
      <w:pPr>
        <w:jc w:val="both"/>
        <w:rPr>
          <w:sz w:val="24"/>
          <w:szCs w:val="24"/>
        </w:rPr>
      </w:pPr>
      <w:r w:rsidRPr="00355B34">
        <w:rPr>
          <w:sz w:val="24"/>
          <w:szCs w:val="24"/>
        </w:rPr>
        <w:t xml:space="preserve">-Pravilnik o proračunskom računovodstvu i </w:t>
      </w:r>
      <w:r>
        <w:rPr>
          <w:sz w:val="24"/>
          <w:szCs w:val="24"/>
        </w:rPr>
        <w:t>r</w:t>
      </w:r>
      <w:r w:rsidRPr="00355B34">
        <w:rPr>
          <w:sz w:val="24"/>
          <w:szCs w:val="24"/>
        </w:rPr>
        <w:t>ačunskom planu („Narodne novine</w:t>
      </w:r>
      <w:r w:rsidRPr="00587B54">
        <w:rPr>
          <w:sz w:val="24"/>
          <w:szCs w:val="24"/>
        </w:rPr>
        <w:t>“</w:t>
      </w:r>
      <w:r w:rsidRPr="00587B54">
        <w:rPr>
          <w:sz w:val="24"/>
          <w:szCs w:val="24"/>
          <w:shd w:val="clear" w:color="auto" w:fill="FFFFFF"/>
        </w:rPr>
        <w:t> </w:t>
      </w:r>
      <w:hyperlink r:id="rId5" w:history="1">
        <w:r w:rsidRPr="00004A99">
          <w:rPr>
            <w:rStyle w:val="Hiperveza"/>
            <w:rFonts w:eastAsiaTheme="majorEastAsia"/>
            <w:color w:val="auto"/>
            <w:sz w:val="24"/>
            <w:szCs w:val="24"/>
            <w:u w:val="none"/>
            <w:shd w:val="clear" w:color="auto" w:fill="FFFFFF"/>
          </w:rPr>
          <w:t>1</w:t>
        </w:r>
      </w:hyperlink>
      <w:r w:rsidRPr="00004A99">
        <w:rPr>
          <w:sz w:val="24"/>
          <w:szCs w:val="24"/>
        </w:rPr>
        <w:t>5</w:t>
      </w:r>
      <w:hyperlink r:id="rId6" w:history="1">
        <w:r w:rsidRPr="00004A99">
          <w:rPr>
            <w:rStyle w:val="Hiperveza"/>
            <w:rFonts w:eastAsiaTheme="majorEastAsia"/>
            <w:color w:val="auto"/>
            <w:sz w:val="24"/>
            <w:szCs w:val="24"/>
            <w:u w:val="none"/>
            <w:shd w:val="clear" w:color="auto" w:fill="FFFFFF"/>
          </w:rPr>
          <w:t>8/23,</w:t>
        </w:r>
      </w:hyperlink>
      <w:r>
        <w:t xml:space="preserve"> </w:t>
      </w:r>
      <w:r w:rsidRPr="00981CA5">
        <w:rPr>
          <w:sz w:val="24"/>
          <w:szCs w:val="24"/>
        </w:rPr>
        <w:t>154/24)</w:t>
      </w:r>
    </w:p>
    <w:p w14:paraId="2CAA1839" w14:textId="77777777" w:rsidR="00745242" w:rsidRDefault="00745242" w:rsidP="00745242">
      <w:pPr>
        <w:jc w:val="both"/>
        <w:rPr>
          <w:sz w:val="24"/>
        </w:rPr>
      </w:pPr>
    </w:p>
    <w:p w14:paraId="14700373" w14:textId="77777777" w:rsidR="00745242" w:rsidRDefault="00745242" w:rsidP="00745242">
      <w:pPr>
        <w:spacing w:after="4"/>
        <w:ind w:left="-5" w:hanging="10"/>
      </w:pPr>
      <w:r>
        <w:rPr>
          <w:sz w:val="24"/>
        </w:rPr>
        <w:t>P</w:t>
      </w:r>
      <w:r>
        <w:rPr>
          <w:b/>
          <w:sz w:val="24"/>
        </w:rPr>
        <w:t xml:space="preserve">ravila testiranja  </w:t>
      </w:r>
    </w:p>
    <w:p w14:paraId="284103DB" w14:textId="77777777" w:rsidR="00745242" w:rsidRDefault="00745242" w:rsidP="00745242">
      <w:pPr>
        <w:spacing w:after="29" w:line="248" w:lineRule="auto"/>
        <w:ind w:left="-5" w:hanging="10"/>
        <w:jc w:val="both"/>
      </w:pPr>
      <w:r>
        <w:rPr>
          <w:sz w:val="24"/>
        </w:rPr>
        <w:t xml:space="preserve">Od kandidata će, po dolasku na provjeru znanja, biti zatraženo predočenje odgovarajuće osobne isprave radi utvrđivanja identiteta.  </w:t>
      </w:r>
    </w:p>
    <w:p w14:paraId="613DC16C" w14:textId="77777777" w:rsidR="00745242" w:rsidRDefault="00745242" w:rsidP="00745242">
      <w:pPr>
        <w:spacing w:after="7" w:line="248" w:lineRule="auto"/>
        <w:ind w:left="-5" w:hanging="10"/>
        <w:jc w:val="both"/>
      </w:pPr>
      <w:r>
        <w:rPr>
          <w:sz w:val="24"/>
        </w:rPr>
        <w:lastRenderedPageBreak/>
        <w:t xml:space="preserve">Nakon identifikacije, kandidatima će biti podijeljena pitanja. Točan odgovor na pitanje nosi od 1-5 bodova (broj bodova utvrđuje se  ovisno o težini pitanja). Smatra se da je kandidat uspješno prošao testiranje ako je ostvario najmanje 50% bodova.  </w:t>
      </w:r>
    </w:p>
    <w:p w14:paraId="19323669" w14:textId="77777777" w:rsidR="00745242" w:rsidRDefault="00745242" w:rsidP="00745242">
      <w:pPr>
        <w:spacing w:after="7" w:line="248" w:lineRule="auto"/>
        <w:ind w:left="-5" w:hanging="10"/>
        <w:jc w:val="both"/>
      </w:pPr>
      <w:r>
        <w:rPr>
          <w:sz w:val="24"/>
        </w:rPr>
        <w:t xml:space="preserve">Za vrijeme provjere znanja i sposobnosti nije dopušteno: </w:t>
      </w:r>
    </w:p>
    <w:p w14:paraId="365E1C62" w14:textId="77777777" w:rsidR="00745242" w:rsidRDefault="00745242" w:rsidP="00745242">
      <w:pPr>
        <w:numPr>
          <w:ilvl w:val="0"/>
          <w:numId w:val="1"/>
        </w:numPr>
        <w:overflowPunct/>
        <w:autoSpaceDE/>
        <w:autoSpaceDN/>
        <w:adjustRightInd/>
        <w:spacing w:after="7" w:line="248" w:lineRule="auto"/>
        <w:ind w:hanging="360"/>
        <w:jc w:val="both"/>
        <w:textAlignment w:val="auto"/>
      </w:pPr>
      <w:r>
        <w:rPr>
          <w:sz w:val="24"/>
        </w:rPr>
        <w:t xml:space="preserve">koristiti se bilo kakovom literaturom ili bilješkama </w:t>
      </w:r>
    </w:p>
    <w:p w14:paraId="5373A4F5" w14:textId="77777777" w:rsidR="00745242" w:rsidRDefault="00745242" w:rsidP="00745242">
      <w:pPr>
        <w:numPr>
          <w:ilvl w:val="0"/>
          <w:numId w:val="1"/>
        </w:numPr>
        <w:overflowPunct/>
        <w:autoSpaceDE/>
        <w:autoSpaceDN/>
        <w:adjustRightInd/>
        <w:spacing w:after="7" w:line="248" w:lineRule="auto"/>
        <w:ind w:hanging="360"/>
        <w:jc w:val="both"/>
        <w:textAlignment w:val="auto"/>
      </w:pPr>
      <w:r>
        <w:rPr>
          <w:sz w:val="24"/>
        </w:rPr>
        <w:t xml:space="preserve">koristiti mobitel ili druga komunikacijska sredstva </w:t>
      </w:r>
    </w:p>
    <w:p w14:paraId="168C1E2D" w14:textId="77777777" w:rsidR="00745242" w:rsidRDefault="00745242" w:rsidP="00745242">
      <w:pPr>
        <w:numPr>
          <w:ilvl w:val="0"/>
          <w:numId w:val="1"/>
        </w:numPr>
        <w:overflowPunct/>
        <w:autoSpaceDE/>
        <w:autoSpaceDN/>
        <w:adjustRightInd/>
        <w:spacing w:after="7" w:line="248" w:lineRule="auto"/>
        <w:ind w:hanging="360"/>
        <w:jc w:val="both"/>
        <w:textAlignment w:val="auto"/>
      </w:pPr>
      <w:r>
        <w:rPr>
          <w:sz w:val="24"/>
        </w:rPr>
        <w:t xml:space="preserve">napuštati prostoriju u kojoj se odvija provjera </w:t>
      </w:r>
    </w:p>
    <w:p w14:paraId="186E6FA7" w14:textId="77777777" w:rsidR="00745242" w:rsidRDefault="00745242" w:rsidP="00745242">
      <w:pPr>
        <w:numPr>
          <w:ilvl w:val="0"/>
          <w:numId w:val="1"/>
        </w:numPr>
        <w:overflowPunct/>
        <w:autoSpaceDE/>
        <w:autoSpaceDN/>
        <w:adjustRightInd/>
        <w:spacing w:after="7" w:line="248" w:lineRule="auto"/>
        <w:ind w:hanging="360"/>
        <w:jc w:val="both"/>
        <w:textAlignment w:val="auto"/>
      </w:pPr>
      <w:r>
        <w:rPr>
          <w:sz w:val="24"/>
        </w:rPr>
        <w:t xml:space="preserve">razgovarati s preostalim kandidatima ili na bilo koji drugi način remetiti koncentraciju ostalih kandidata.  </w:t>
      </w:r>
    </w:p>
    <w:p w14:paraId="5FBE2232" w14:textId="77777777" w:rsidR="00745242" w:rsidRDefault="00745242" w:rsidP="00745242">
      <w:pPr>
        <w:spacing w:after="7" w:line="248" w:lineRule="auto"/>
        <w:ind w:left="-5" w:hanging="10"/>
        <w:jc w:val="both"/>
      </w:pPr>
      <w:r>
        <w:rPr>
          <w:sz w:val="24"/>
        </w:rPr>
        <w:t xml:space="preserve">Ukoliko kandidat prekrši naprijed navedena pravila bit će udaljen s provjere znanja, a njegov rezultat Povjerenstvo neće priznati niti ocjenjivati.  </w:t>
      </w:r>
    </w:p>
    <w:p w14:paraId="1C32D1C6" w14:textId="77777777" w:rsidR="00745242" w:rsidRDefault="00745242" w:rsidP="00745242">
      <w:pPr>
        <w:spacing w:after="32" w:line="248" w:lineRule="auto"/>
        <w:ind w:left="-5" w:hanging="10"/>
        <w:jc w:val="both"/>
      </w:pPr>
      <w:r>
        <w:rPr>
          <w:sz w:val="24"/>
        </w:rPr>
        <w:t xml:space="preserve">Testiranje (pisani test vezan uz poznavanje propisa) traje 45 minuta. </w:t>
      </w:r>
    </w:p>
    <w:p w14:paraId="64A66B33" w14:textId="77777777" w:rsidR="00745242" w:rsidRDefault="00745242" w:rsidP="00745242">
      <w:pPr>
        <w:spacing w:after="7" w:line="248" w:lineRule="auto"/>
        <w:ind w:left="-5" w:hanging="10"/>
        <w:jc w:val="both"/>
      </w:pPr>
      <w:r>
        <w:rPr>
          <w:sz w:val="24"/>
        </w:rPr>
        <w:t xml:space="preserve">S kandidatima koji su uspješno položili pismeni dio testa obavlja se intervju. Intervju obuhvaća: provjeru socijalnih vještina (komunikacija i socijalni kontakt),  osobnih kvaliteta relevantnih za posao (zainteresiranost, motiviranost), te  osobnosti kandidata.  </w:t>
      </w:r>
    </w:p>
    <w:p w14:paraId="5F6B6E4C" w14:textId="77777777" w:rsidR="00745242" w:rsidRDefault="00745242" w:rsidP="00745242">
      <w:pPr>
        <w:spacing w:after="7" w:line="248" w:lineRule="auto"/>
        <w:ind w:left="-5" w:hanging="10"/>
        <w:jc w:val="both"/>
      </w:pPr>
      <w:r>
        <w:rPr>
          <w:sz w:val="24"/>
        </w:rPr>
        <w:t xml:space="preserve">Rezultati intervjua boduju se od 1do 10.  </w:t>
      </w:r>
    </w:p>
    <w:p w14:paraId="37735398" w14:textId="77777777" w:rsidR="00745242" w:rsidRDefault="00745242" w:rsidP="00745242">
      <w:pPr>
        <w:spacing w:after="1"/>
      </w:pPr>
      <w:r>
        <w:rPr>
          <w:sz w:val="24"/>
        </w:rPr>
        <w:t xml:space="preserve"> </w:t>
      </w:r>
    </w:p>
    <w:p w14:paraId="5E5ABCF8" w14:textId="77777777" w:rsidR="00745242" w:rsidRDefault="00745242" w:rsidP="00745242">
      <w:pPr>
        <w:spacing w:after="7" w:line="248" w:lineRule="auto"/>
        <w:ind w:left="-5" w:hanging="10"/>
        <w:jc w:val="both"/>
      </w:pPr>
      <w:r>
        <w:rPr>
          <w:sz w:val="24"/>
        </w:rPr>
        <w:t xml:space="preserve">Nakon provedenog testiranja i intervjua Povjerenstvo za provedbu natječaja utvrđuje </w:t>
      </w:r>
    </w:p>
    <w:p w14:paraId="5A104C43" w14:textId="77777777" w:rsidR="00745242" w:rsidRDefault="00745242" w:rsidP="00745242">
      <w:pPr>
        <w:spacing w:after="7" w:line="248" w:lineRule="auto"/>
        <w:ind w:left="-5" w:hanging="10"/>
        <w:jc w:val="both"/>
      </w:pPr>
      <w:r>
        <w:rPr>
          <w:sz w:val="24"/>
        </w:rPr>
        <w:t xml:space="preserve">Rang listu kandidata prema ukupnom broju bodova ostvarenih na testiranju i intervjuu Kandidati koji su pristupili testiranju imaju pravo uvida u rezultate provedenog postupka. Izabrani kandidat mora dostaviti uvjerenje o zdravstvenoj sposobnosti po primitku rješenja o prijmu u službu. </w:t>
      </w:r>
    </w:p>
    <w:p w14:paraId="2A15B48D" w14:textId="77777777" w:rsidR="00B4759D" w:rsidRDefault="00B4759D"/>
    <w:sectPr w:rsidR="00B47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D3440"/>
    <w:multiLevelType w:val="hybridMultilevel"/>
    <w:tmpl w:val="7C50A7F8"/>
    <w:lvl w:ilvl="0" w:tplc="6554DC34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A6E68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3C556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90E7B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40C92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E6380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E4629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C255C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20BE2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88021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42"/>
    <w:rsid w:val="00004A99"/>
    <w:rsid w:val="00076DD0"/>
    <w:rsid w:val="000E3681"/>
    <w:rsid w:val="00331788"/>
    <w:rsid w:val="003A513C"/>
    <w:rsid w:val="00524341"/>
    <w:rsid w:val="00541D1C"/>
    <w:rsid w:val="005F55DD"/>
    <w:rsid w:val="00745242"/>
    <w:rsid w:val="00B4759D"/>
    <w:rsid w:val="00BE479F"/>
    <w:rsid w:val="00C22AB1"/>
    <w:rsid w:val="00D3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046A3"/>
  <w15:chartTrackingRefBased/>
  <w15:docId w15:val="{BE08FDCD-1022-479D-AA5B-40FFCEEE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2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hr-HR"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7452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45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452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452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452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452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452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452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452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45242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4524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45242"/>
    <w:rPr>
      <w:rFonts w:eastAsiaTheme="majorEastAsia" w:cstheme="majorBidi"/>
      <w:color w:val="2F5496" w:themeColor="accent1" w:themeShade="BF"/>
      <w:sz w:val="28"/>
      <w:szCs w:val="28"/>
      <w:lang w:val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45242"/>
    <w:rPr>
      <w:rFonts w:eastAsiaTheme="majorEastAsia" w:cstheme="majorBidi"/>
      <w:i/>
      <w:iCs/>
      <w:color w:val="2F5496" w:themeColor="accent1" w:themeShade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45242"/>
    <w:rPr>
      <w:rFonts w:eastAsiaTheme="majorEastAsia" w:cstheme="majorBidi"/>
      <w:color w:val="2F5496" w:themeColor="accent1" w:themeShade="BF"/>
      <w:lang w:val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45242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45242"/>
    <w:rPr>
      <w:rFonts w:eastAsiaTheme="majorEastAsia" w:cstheme="majorBidi"/>
      <w:color w:val="595959" w:themeColor="text1" w:themeTint="A6"/>
      <w:lang w:val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45242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45242"/>
    <w:rPr>
      <w:rFonts w:eastAsiaTheme="majorEastAsia" w:cstheme="majorBidi"/>
      <w:color w:val="272727" w:themeColor="text1" w:themeTint="D8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7452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45242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452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45242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Citat">
    <w:name w:val="Quote"/>
    <w:basedOn w:val="Normal"/>
    <w:next w:val="Normal"/>
    <w:link w:val="CitatChar"/>
    <w:uiPriority w:val="29"/>
    <w:qFormat/>
    <w:rsid w:val="00745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45242"/>
    <w:rPr>
      <w:i/>
      <w:iCs/>
      <w:color w:val="404040" w:themeColor="text1" w:themeTint="BF"/>
      <w:lang w:val="hr-HR"/>
    </w:rPr>
  </w:style>
  <w:style w:type="paragraph" w:styleId="Odlomakpopisa">
    <w:name w:val="List Paragraph"/>
    <w:basedOn w:val="Normal"/>
    <w:uiPriority w:val="34"/>
    <w:qFormat/>
    <w:rsid w:val="0074524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45242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452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45242"/>
    <w:rPr>
      <w:i/>
      <w:iCs/>
      <w:color w:val="2F5496" w:themeColor="accent1" w:themeShade="BF"/>
      <w:lang w:val="hr-HR"/>
    </w:rPr>
  </w:style>
  <w:style w:type="character" w:styleId="Istaknutareferenca">
    <w:name w:val="Intense Reference"/>
    <w:basedOn w:val="Zadanifontodlomka"/>
    <w:uiPriority w:val="32"/>
    <w:qFormat/>
    <w:rsid w:val="00745242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uiPriority w:val="99"/>
    <w:rsid w:val="00745242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745242"/>
    <w:pPr>
      <w:spacing w:after="0" w:line="240" w:lineRule="auto"/>
    </w:pPr>
    <w:rPr>
      <w:rFonts w:ascii="Calibri" w:eastAsia="Calibri" w:hAnsi="Calibri" w:cs="Times New Roman"/>
      <w:kern w:val="0"/>
      <w:lang w:val="hr-HR"/>
      <w14:ligatures w14:val="none"/>
    </w:rPr>
  </w:style>
  <w:style w:type="character" w:customStyle="1" w:styleId="BezproredaChar">
    <w:name w:val="Bez proreda Char"/>
    <w:link w:val="Bezproreda"/>
    <w:uiPriority w:val="1"/>
    <w:rsid w:val="00745242"/>
    <w:rPr>
      <w:rFonts w:ascii="Calibri" w:eastAsia="Calibri" w:hAnsi="Calibri" w:cs="Times New Roman"/>
      <w:kern w:val="0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rodne-novine.nn.hr/clanci/sluzbeni/full/2016_09_87_1886.html" TargetMode="External"/><Relationship Id="rId5" Type="http://schemas.openxmlformats.org/officeDocument/2006/relationships/hyperlink" Target="https://narodne-novine.nn.hr/clanci/sluzbeni/full/2014_10_124_237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656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Špelić</dc:creator>
  <cp:keywords/>
  <dc:description/>
  <cp:lastModifiedBy>Zdenka Špelić</cp:lastModifiedBy>
  <cp:revision>3</cp:revision>
  <cp:lastPrinted>2025-06-25T08:51:00Z</cp:lastPrinted>
  <dcterms:created xsi:type="dcterms:W3CDTF">2025-06-24T14:19:00Z</dcterms:created>
  <dcterms:modified xsi:type="dcterms:W3CDTF">2025-06-25T08:51:00Z</dcterms:modified>
</cp:coreProperties>
</file>